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B437" w14:textId="77777777" w:rsidR="00BB53F2" w:rsidRDefault="00BB53F2" w:rsidP="00BB53F2">
      <w:pPr>
        <w:spacing w:before="120"/>
        <w:ind w:right="-1"/>
        <w:jc w:val="center"/>
        <w:rPr>
          <w:b/>
          <w:sz w:val="30"/>
          <w:szCs w:val="30"/>
        </w:rPr>
      </w:pPr>
      <w:r w:rsidRPr="003420F0">
        <w:rPr>
          <w:b/>
          <w:noProof/>
          <w:sz w:val="30"/>
          <w:szCs w:val="30"/>
        </w:rPr>
        <w:drawing>
          <wp:inline distT="0" distB="0" distL="0" distR="0" wp14:anchorId="70D7CB8D" wp14:editId="21A8DF9A">
            <wp:extent cx="619200" cy="735300"/>
            <wp:effectExtent l="19050" t="0" r="9450" b="0"/>
            <wp:docPr id="6"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MALA gerbonis_black_balts_fons.png"/>
                    <pic:cNvPicPr/>
                  </pic:nvPicPr>
                  <pic:blipFill>
                    <a:blip r:embed="rId8" cstate="print"/>
                    <a:stretch>
                      <a:fillRect/>
                    </a:stretch>
                  </pic:blipFill>
                  <pic:spPr>
                    <a:xfrm>
                      <a:off x="0" y="0"/>
                      <a:ext cx="619200" cy="735300"/>
                    </a:xfrm>
                    <a:prstGeom prst="rect">
                      <a:avLst/>
                    </a:prstGeom>
                  </pic:spPr>
                </pic:pic>
              </a:graphicData>
            </a:graphic>
          </wp:inline>
        </w:drawing>
      </w:r>
    </w:p>
    <w:p w14:paraId="7ADA89FA" w14:textId="284637BA" w:rsidR="00BB53F2" w:rsidRPr="00C506DD" w:rsidRDefault="009D7091" w:rsidP="00965B4D">
      <w:pPr>
        <w:spacing w:before="120" w:after="120"/>
        <w:ind w:right="141"/>
        <w:jc w:val="center"/>
        <w:rPr>
          <w:caps/>
          <w:sz w:val="28"/>
          <w:szCs w:val="28"/>
        </w:rPr>
      </w:pPr>
      <w:r w:rsidRPr="009D7091">
        <w:rPr>
          <w:caps/>
          <w:sz w:val="28"/>
          <w:szCs w:val="28"/>
        </w:rPr>
        <w:t>JŪRMALAS VALSTSPILSĒTAS ADMINISTRĀCIJA</w:t>
      </w:r>
    </w:p>
    <w:tbl>
      <w:tblPr>
        <w:tblW w:w="9214" w:type="dxa"/>
        <w:tblBorders>
          <w:top w:val="single" w:sz="2" w:space="0" w:color="auto"/>
        </w:tblBorders>
        <w:tblCellMar>
          <w:left w:w="0" w:type="dxa"/>
          <w:right w:w="0" w:type="dxa"/>
        </w:tblCellMar>
        <w:tblLook w:val="04A0" w:firstRow="1" w:lastRow="0" w:firstColumn="1" w:lastColumn="0" w:noHBand="0" w:noVBand="1"/>
      </w:tblPr>
      <w:tblGrid>
        <w:gridCol w:w="9214"/>
      </w:tblGrid>
      <w:tr w:rsidR="00BB53F2" w:rsidRPr="00754A3B" w14:paraId="7E73FC2A" w14:textId="77777777" w:rsidTr="00673E61">
        <w:trPr>
          <w:trHeight w:val="306"/>
        </w:trPr>
        <w:tc>
          <w:tcPr>
            <w:tcW w:w="9214" w:type="dxa"/>
          </w:tcPr>
          <w:p w14:paraId="2CEC4085" w14:textId="5BB9336D" w:rsidR="00BB53F2" w:rsidRPr="00D52B3A" w:rsidRDefault="00A762EC" w:rsidP="00C73CBA">
            <w:pPr>
              <w:spacing w:before="120" w:after="120"/>
              <w:jc w:val="center"/>
              <w:rPr>
                <w:sz w:val="16"/>
                <w:szCs w:val="16"/>
              </w:rPr>
            </w:pPr>
            <w:r w:rsidRPr="00A762EC">
              <w:rPr>
                <w:sz w:val="16"/>
                <w:szCs w:val="16"/>
              </w:rPr>
              <w:t>Jomas iela 1/5, Jūrmala, LV - 2015, reģ. Nr. 90000056357, tālrunis: 67093816, e-pasts: pasts@jurmala.lv, www.jurmala.lv</w:t>
            </w:r>
          </w:p>
        </w:tc>
      </w:tr>
    </w:tbl>
    <w:p w14:paraId="429DCCE5" w14:textId="77777777" w:rsidR="00BB53F2" w:rsidRDefault="00BB53F2" w:rsidP="00BB53F2">
      <w:pPr>
        <w:jc w:val="center"/>
      </w:pPr>
    </w:p>
    <w:p w14:paraId="3ACA4DED" w14:textId="77777777" w:rsidR="007F7F9A" w:rsidRDefault="00BB53F2" w:rsidP="00BB53F2">
      <w:pPr>
        <w:jc w:val="center"/>
      </w:pPr>
      <w:r>
        <w:t>Jūrmalā</w:t>
      </w:r>
    </w:p>
    <w:p w14:paraId="7E1C43AD" w14:textId="77777777" w:rsidR="007F7F9A" w:rsidRDefault="007F7F9A" w:rsidP="00245ABF"/>
    <w:p w14:paraId="5A2B43C8" w14:textId="77777777" w:rsidR="00C95F21" w:rsidRDefault="00C95F21" w:rsidP="00245A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48"/>
        <w:gridCol w:w="2041"/>
      </w:tblGrid>
      <w:tr w:rsidR="00C95F21" w14:paraId="39F62F5A" w14:textId="77777777" w:rsidTr="001E7CB8">
        <w:trPr>
          <w:trHeight w:val="359"/>
        </w:trPr>
        <w:tc>
          <w:tcPr>
            <w:tcW w:w="1919" w:type="dxa"/>
            <w:tcBorders>
              <w:top w:val="nil"/>
              <w:left w:val="nil"/>
              <w:bottom w:val="single" w:sz="4" w:space="0" w:color="auto"/>
              <w:right w:val="nil"/>
            </w:tcBorders>
            <w:vAlign w:val="center"/>
            <w:hideMark/>
          </w:tcPr>
          <w:p w14:paraId="47BC2BC5" w14:textId="77777777" w:rsidR="00C95F21" w:rsidRDefault="00C95F21" w:rsidP="001E7CB8">
            <w:pPr>
              <w:jc w:val="center"/>
              <w:rPr>
                <w:szCs w:val="24"/>
              </w:rPr>
            </w:pPr>
            <w:r>
              <w:t>13.08.2024</w:t>
            </w:r>
            <w:r>
              <w:rPr>
                <w:szCs w:val="24"/>
              </w:rPr>
              <w:t>.</w:t>
            </w:r>
          </w:p>
        </w:tc>
        <w:tc>
          <w:tcPr>
            <w:tcW w:w="548" w:type="dxa"/>
            <w:tcBorders>
              <w:top w:val="nil"/>
              <w:left w:val="nil"/>
              <w:bottom w:val="nil"/>
              <w:right w:val="nil"/>
            </w:tcBorders>
            <w:vAlign w:val="center"/>
            <w:hideMark/>
          </w:tcPr>
          <w:p w14:paraId="18E7ED66" w14:textId="77777777" w:rsidR="00C95F21" w:rsidRDefault="00C95F21" w:rsidP="001E7CB8">
            <w:pPr>
              <w:jc w:val="center"/>
              <w:rPr>
                <w:szCs w:val="24"/>
              </w:rPr>
            </w:pPr>
            <w:r>
              <w:rPr>
                <w:szCs w:val="24"/>
              </w:rPr>
              <w:t>Nr.</w:t>
            </w:r>
          </w:p>
        </w:tc>
        <w:tc>
          <w:tcPr>
            <w:tcW w:w="2041" w:type="dxa"/>
            <w:tcBorders>
              <w:top w:val="nil"/>
              <w:left w:val="nil"/>
              <w:bottom w:val="single" w:sz="4" w:space="0" w:color="auto"/>
              <w:right w:val="nil"/>
            </w:tcBorders>
            <w:vAlign w:val="center"/>
          </w:tcPr>
          <w:p w14:paraId="148B2AD0" w14:textId="77777777" w:rsidR="00C95F21" w:rsidRDefault="00C95F21" w:rsidP="001E7CB8">
            <w:pPr>
              <w:ind w:right="235"/>
              <w:jc w:val="center"/>
              <w:rPr>
                <w:szCs w:val="24"/>
              </w:rPr>
            </w:pPr>
            <w:r>
              <w:t>14-1/1581</w:t>
            </w:r>
          </w:p>
        </w:tc>
      </w:tr>
    </w:tbl>
    <w:p w14:paraId="0D234B4A" w14:textId="17FC4784" w:rsidR="00C95F21" w:rsidRDefault="006507A4" w:rsidP="006507A4">
      <w:pPr>
        <w:tabs>
          <w:tab w:val="left" w:pos="2115"/>
        </w:tabs>
      </w:pPr>
      <w:r>
        <w:t>06.08.2024.</w:t>
      </w:r>
      <w:r w:rsidR="006A21BB">
        <w:tab/>
      </w:r>
      <w:r>
        <w:t>Nr. 4/2-7/5860</w:t>
      </w:r>
    </w:p>
    <w:p w14:paraId="2A3483F3" w14:textId="77777777" w:rsidR="00D20078" w:rsidRPr="00AB20AA" w:rsidRDefault="00D20078" w:rsidP="00D20078">
      <w:pPr>
        <w:jc w:val="right"/>
        <w:rPr>
          <w:b/>
          <w:bCs/>
          <w:szCs w:val="24"/>
          <w:lang w:eastAsia="en-US"/>
        </w:rPr>
      </w:pPr>
      <w:r w:rsidRPr="00AB20AA">
        <w:rPr>
          <w:b/>
          <w:bCs/>
          <w:szCs w:val="24"/>
          <w:lang w:eastAsia="en-US"/>
        </w:rPr>
        <w:t>Valsts akciju sabiedrībai</w:t>
      </w:r>
    </w:p>
    <w:p w14:paraId="3BB6BF52" w14:textId="77777777" w:rsidR="00D20078" w:rsidRPr="00AB20AA" w:rsidRDefault="00D20078" w:rsidP="00D20078">
      <w:pPr>
        <w:jc w:val="right"/>
      </w:pPr>
      <w:r w:rsidRPr="00AB20AA">
        <w:rPr>
          <w:szCs w:val="24"/>
          <w:lang w:eastAsia="en-US"/>
        </w:rPr>
        <w:t>“Valsts nekustamie īpašumi”</w:t>
      </w:r>
    </w:p>
    <w:p w14:paraId="6CD66F8C" w14:textId="77777777" w:rsidR="00D20078" w:rsidRPr="00AB20AA" w:rsidRDefault="00D20078" w:rsidP="00D20078">
      <w:pPr>
        <w:keepNext/>
        <w:keepLines/>
        <w:outlineLvl w:val="4"/>
        <w:rPr>
          <w:iCs/>
          <w:szCs w:val="24"/>
        </w:rPr>
      </w:pPr>
    </w:p>
    <w:p w14:paraId="798247FD" w14:textId="77777777" w:rsidR="00D20078" w:rsidRPr="00AB20AA" w:rsidRDefault="00D20078" w:rsidP="00D20078">
      <w:pPr>
        <w:keepNext/>
        <w:keepLines/>
        <w:outlineLvl w:val="4"/>
        <w:rPr>
          <w:bCs/>
          <w:iCs/>
          <w:szCs w:val="24"/>
        </w:rPr>
      </w:pPr>
      <w:r w:rsidRPr="00AB20AA">
        <w:rPr>
          <w:bCs/>
          <w:iCs/>
          <w:szCs w:val="24"/>
        </w:rPr>
        <w:t xml:space="preserve">Par zemes vienību </w:t>
      </w:r>
      <w:r w:rsidRPr="00AB20AA">
        <w:rPr>
          <w:b/>
          <w:bCs/>
          <w:szCs w:val="24"/>
        </w:rPr>
        <w:t>Kāpu iela 155/157</w:t>
      </w:r>
      <w:r w:rsidRPr="00AB20AA">
        <w:rPr>
          <w:b/>
          <w:bCs/>
          <w:iCs/>
          <w:szCs w:val="24"/>
        </w:rPr>
        <w:t>, Jūrmalā</w:t>
      </w:r>
    </w:p>
    <w:p w14:paraId="1610B81D" w14:textId="77777777" w:rsidR="00D20078" w:rsidRPr="00AB20AA" w:rsidRDefault="00D20078" w:rsidP="00D20078">
      <w:pPr>
        <w:rPr>
          <w:iCs/>
          <w:szCs w:val="24"/>
        </w:rPr>
      </w:pPr>
      <w:r w:rsidRPr="00AB20AA">
        <w:rPr>
          <w:iCs/>
          <w:szCs w:val="24"/>
        </w:rPr>
        <w:t>(kadastra apzīmējums 1300 017 1401)</w:t>
      </w:r>
      <w:r w:rsidRPr="00AB20AA">
        <w:rPr>
          <w:szCs w:val="24"/>
          <w:lang w:eastAsia="en-US"/>
        </w:rPr>
        <w:t xml:space="preserve"> </w:t>
      </w:r>
    </w:p>
    <w:p w14:paraId="1A73E61D" w14:textId="77777777" w:rsidR="00D20078" w:rsidRPr="00AB20AA" w:rsidRDefault="00D20078" w:rsidP="00D20078">
      <w:pPr>
        <w:tabs>
          <w:tab w:val="left" w:pos="426"/>
        </w:tabs>
        <w:jc w:val="both"/>
        <w:rPr>
          <w:iCs/>
          <w:color w:val="FF0000"/>
          <w:szCs w:val="24"/>
          <w:lang w:eastAsia="en-US"/>
        </w:rPr>
      </w:pPr>
    </w:p>
    <w:p w14:paraId="6B4F9523" w14:textId="77D86415" w:rsidR="00D20078" w:rsidRPr="00AB20AA" w:rsidRDefault="004628B5" w:rsidP="00D20078">
      <w:pPr>
        <w:ind w:firstLine="425"/>
        <w:jc w:val="both"/>
        <w:rPr>
          <w:iCs/>
          <w:szCs w:val="24"/>
          <w:lang w:eastAsia="en-US"/>
        </w:rPr>
      </w:pPr>
      <w:r>
        <w:rPr>
          <w:iCs/>
          <w:szCs w:val="24"/>
          <w:lang w:eastAsia="en-US"/>
        </w:rPr>
        <w:t>Atbildot uz</w:t>
      </w:r>
      <w:r w:rsidR="00D20078" w:rsidRPr="00AB20AA">
        <w:rPr>
          <w:iCs/>
          <w:szCs w:val="24"/>
          <w:lang w:eastAsia="en-US"/>
        </w:rPr>
        <w:t xml:space="preserve"> Valsts akciju sabiedrības “Valsts nekustamie īpašumi” 2024. gada 6. augusta iesniegumu</w:t>
      </w:r>
      <w:r>
        <w:rPr>
          <w:iCs/>
          <w:szCs w:val="24"/>
          <w:lang w:eastAsia="en-US"/>
        </w:rPr>
        <w:t>, kas Jūrmalas valstspilsētas administrācij</w:t>
      </w:r>
      <w:r w:rsidR="00815607">
        <w:rPr>
          <w:iCs/>
          <w:szCs w:val="24"/>
          <w:lang w:eastAsia="en-US"/>
        </w:rPr>
        <w:t>as Pilsētplānošanas pārvaldē</w:t>
      </w:r>
      <w:r>
        <w:rPr>
          <w:iCs/>
          <w:szCs w:val="24"/>
          <w:lang w:eastAsia="en-US"/>
        </w:rPr>
        <w:t xml:space="preserve"> (turpmāk – </w:t>
      </w:r>
      <w:r w:rsidR="00815607">
        <w:rPr>
          <w:iCs/>
          <w:szCs w:val="24"/>
          <w:lang w:eastAsia="en-US"/>
        </w:rPr>
        <w:t>Pārvalde</w:t>
      </w:r>
      <w:r>
        <w:rPr>
          <w:iCs/>
          <w:szCs w:val="24"/>
          <w:lang w:eastAsia="en-US"/>
        </w:rPr>
        <w:t xml:space="preserve">) </w:t>
      </w:r>
      <w:r w:rsidR="00D20078" w:rsidRPr="00AB20AA">
        <w:rPr>
          <w:iCs/>
          <w:szCs w:val="24"/>
          <w:lang w:eastAsia="en-US"/>
        </w:rPr>
        <w:t xml:space="preserve">reģistrēts </w:t>
      </w:r>
      <w:r>
        <w:rPr>
          <w:iCs/>
          <w:szCs w:val="24"/>
          <w:lang w:eastAsia="en-US"/>
        </w:rPr>
        <w:t>2024. gada 6.</w:t>
      </w:r>
      <w:r w:rsidR="00E8472B">
        <w:rPr>
          <w:iCs/>
          <w:szCs w:val="24"/>
          <w:lang w:eastAsia="en-US"/>
        </w:rPr>
        <w:t> </w:t>
      </w:r>
      <w:r>
        <w:t xml:space="preserve">augustā </w:t>
      </w:r>
      <w:r w:rsidR="00D20078" w:rsidRPr="00AB20AA">
        <w:rPr>
          <w:iCs/>
          <w:szCs w:val="24"/>
          <w:lang w:eastAsia="en-US"/>
        </w:rPr>
        <w:t>ar Nr. 14-3-3</w:t>
      </w:r>
      <w:r w:rsidR="00815607">
        <w:rPr>
          <w:iCs/>
          <w:szCs w:val="24"/>
          <w:lang w:eastAsia="en-US"/>
        </w:rPr>
        <w:t>571</w:t>
      </w:r>
      <w:r w:rsidR="00D20078" w:rsidRPr="00AB20AA">
        <w:rPr>
          <w:iCs/>
          <w:szCs w:val="24"/>
          <w:lang w:eastAsia="en-US"/>
        </w:rPr>
        <w:t xml:space="preserve">, </w:t>
      </w:r>
      <w:r w:rsidR="00815607">
        <w:rPr>
          <w:iCs/>
          <w:szCs w:val="24"/>
          <w:lang w:eastAsia="en-US"/>
        </w:rPr>
        <w:t>Pārvalde</w:t>
      </w:r>
      <w:r w:rsidR="00D20078" w:rsidRPr="00AB20AA">
        <w:rPr>
          <w:iCs/>
          <w:szCs w:val="24"/>
          <w:lang w:eastAsia="en-US"/>
        </w:rPr>
        <w:t xml:space="preserve"> apliecina, ka zemes vienība </w:t>
      </w:r>
      <w:r w:rsidR="00D20078" w:rsidRPr="00AB20AA">
        <w:rPr>
          <w:b/>
          <w:bCs/>
          <w:iCs/>
          <w:szCs w:val="24"/>
        </w:rPr>
        <w:t>Kāpu iela 155/157</w:t>
      </w:r>
      <w:r w:rsidR="00D20078" w:rsidRPr="00AB20AA">
        <w:rPr>
          <w:b/>
          <w:szCs w:val="24"/>
        </w:rPr>
        <w:t xml:space="preserve">, </w:t>
      </w:r>
      <w:r w:rsidR="00D20078" w:rsidRPr="00AB20AA">
        <w:rPr>
          <w:b/>
          <w:iCs/>
          <w:szCs w:val="24"/>
          <w:lang w:eastAsia="en-US"/>
        </w:rPr>
        <w:t>Jūrmalā</w:t>
      </w:r>
      <w:r w:rsidR="00D20078" w:rsidRPr="00AB20AA">
        <w:rPr>
          <w:iCs/>
          <w:szCs w:val="24"/>
          <w:lang w:eastAsia="en-US"/>
        </w:rPr>
        <w:t>, zemes vienības platība 11 840 m</w:t>
      </w:r>
      <w:r w:rsidR="00D20078" w:rsidRPr="00AB20AA">
        <w:rPr>
          <w:iCs/>
          <w:szCs w:val="24"/>
          <w:vertAlign w:val="superscript"/>
          <w:lang w:eastAsia="en-US"/>
        </w:rPr>
        <w:t>2</w:t>
      </w:r>
      <w:r w:rsidR="00D20078" w:rsidRPr="00AB20AA">
        <w:rPr>
          <w:iCs/>
          <w:szCs w:val="24"/>
          <w:lang w:eastAsia="en-US"/>
        </w:rPr>
        <w:t>, kadastra apzīmējums 1300 017 1401</w:t>
      </w:r>
      <w:r w:rsidR="00787E11">
        <w:rPr>
          <w:iCs/>
          <w:szCs w:val="24"/>
          <w:lang w:eastAsia="en-US"/>
        </w:rPr>
        <w:t xml:space="preserve"> </w:t>
      </w:r>
      <w:r w:rsidR="00D20078" w:rsidRPr="00AB20AA">
        <w:rPr>
          <w:iCs/>
          <w:szCs w:val="24"/>
          <w:lang w:eastAsia="en-US"/>
        </w:rPr>
        <w:t>(turpmāk – zemes vienība)</w:t>
      </w:r>
      <w:r w:rsidR="00787E11">
        <w:rPr>
          <w:iCs/>
          <w:szCs w:val="24"/>
          <w:lang w:eastAsia="en-US"/>
        </w:rPr>
        <w:t>,</w:t>
      </w:r>
      <w:r w:rsidR="00D20078" w:rsidRPr="00AB20AA">
        <w:rPr>
          <w:iCs/>
          <w:szCs w:val="24"/>
          <w:lang w:eastAsia="en-US"/>
        </w:rPr>
        <w:t xml:space="preserve"> saskaņā ar Jūrmalas pilsētas domes 2007. gada 6. decembra saistošajiem noteikumiem Nr. 68 “Par detālplānojuma zemesgabalam Jūrmalā, Kāpu ielā 155/157 projekta grafiskās daļas teritorijas izmantošanas un apbūves noteikumu apstiprināšanu” apstiprināto detālplānojumu (turpmāk – Detālplānojums) atrodas </w:t>
      </w:r>
      <w:r w:rsidR="00D20078" w:rsidRPr="00AB20AA">
        <w:rPr>
          <w:b/>
          <w:bCs/>
          <w:iCs/>
          <w:szCs w:val="24"/>
          <w:lang w:eastAsia="en-US"/>
        </w:rPr>
        <w:t>Jauktas atpūtas un dzīvojamās teritorijās Rīgas jūras līča krasta kāpu aizsargjoslā (JK).</w:t>
      </w:r>
      <w:r w:rsidR="00D20078" w:rsidRPr="00AB20AA">
        <w:rPr>
          <w:iCs/>
          <w:szCs w:val="24"/>
          <w:lang w:eastAsia="en-US"/>
        </w:rPr>
        <w:t xml:space="preserve"> Saskaņā ar Detālplānojuma Apbūves un teritorijas izmantošanas noteikumu 1.2. apakšpunktu, Detālplānojumā noteiktā atļautā zemes vienības izmantošana un galvenie apbūves parametri ir:</w:t>
      </w:r>
    </w:p>
    <w:p w14:paraId="67195F2A" w14:textId="77777777" w:rsidR="00D20078" w:rsidRPr="00AB20AA" w:rsidRDefault="00D20078" w:rsidP="00D20078">
      <w:pPr>
        <w:numPr>
          <w:ilvl w:val="0"/>
          <w:numId w:val="16"/>
        </w:numPr>
        <w:overflowPunct/>
        <w:autoSpaceDE/>
        <w:autoSpaceDN/>
        <w:adjustRightInd/>
        <w:spacing w:after="200" w:line="276" w:lineRule="auto"/>
        <w:contextualSpacing/>
        <w:jc w:val="both"/>
        <w:textAlignment w:val="auto"/>
        <w:rPr>
          <w:rFonts w:eastAsia="Calibri"/>
          <w:iCs/>
          <w:szCs w:val="24"/>
          <w:lang w:val="en-US" w:eastAsia="en-US"/>
        </w:rPr>
      </w:pPr>
      <w:r w:rsidRPr="00AB20AA">
        <w:rPr>
          <w:rFonts w:eastAsia="Calibri"/>
          <w:iCs/>
          <w:szCs w:val="24"/>
          <w:lang w:val="en-US" w:eastAsia="en-US"/>
        </w:rPr>
        <w:t>ārstniecības iestāde – apbūves blīvums 15%, apbūves intensitāte 40% un minimālā brīvā zaļā teritorija 70%;</w:t>
      </w:r>
    </w:p>
    <w:p w14:paraId="5364CD69" w14:textId="77777777" w:rsidR="00D20078" w:rsidRPr="00AB20AA" w:rsidRDefault="00D20078" w:rsidP="00D20078">
      <w:pPr>
        <w:numPr>
          <w:ilvl w:val="0"/>
          <w:numId w:val="16"/>
        </w:numPr>
        <w:overflowPunct/>
        <w:autoSpaceDE/>
        <w:autoSpaceDN/>
        <w:adjustRightInd/>
        <w:spacing w:after="200" w:line="276" w:lineRule="auto"/>
        <w:contextualSpacing/>
        <w:jc w:val="both"/>
        <w:textAlignment w:val="auto"/>
        <w:rPr>
          <w:rFonts w:eastAsia="Calibri"/>
          <w:iCs/>
          <w:szCs w:val="24"/>
          <w:lang w:val="en-US" w:eastAsia="en-US"/>
        </w:rPr>
      </w:pPr>
      <w:r w:rsidRPr="00AB20AA">
        <w:rPr>
          <w:rFonts w:eastAsia="Calibri"/>
          <w:iCs/>
          <w:szCs w:val="24"/>
          <w:lang w:val="en-US" w:eastAsia="en-US"/>
        </w:rPr>
        <w:t>atpūtas iestāde - apbūves blīvums 15%, apbūves intensitāte 40% un minimālā brīvā zaļā teritorija 70%.;</w:t>
      </w:r>
    </w:p>
    <w:p w14:paraId="5D291859" w14:textId="77777777" w:rsidR="00D20078" w:rsidRPr="00AB20AA" w:rsidRDefault="00D20078" w:rsidP="00D20078">
      <w:pPr>
        <w:numPr>
          <w:ilvl w:val="0"/>
          <w:numId w:val="16"/>
        </w:numPr>
        <w:overflowPunct/>
        <w:autoSpaceDE/>
        <w:autoSpaceDN/>
        <w:adjustRightInd/>
        <w:spacing w:after="200" w:line="276" w:lineRule="auto"/>
        <w:contextualSpacing/>
        <w:jc w:val="both"/>
        <w:textAlignment w:val="auto"/>
        <w:rPr>
          <w:rFonts w:eastAsia="Calibri"/>
          <w:iCs/>
          <w:szCs w:val="24"/>
          <w:lang w:val="en-US" w:eastAsia="en-US"/>
        </w:rPr>
      </w:pPr>
      <w:r w:rsidRPr="00AB20AA">
        <w:rPr>
          <w:rFonts w:eastAsia="Calibri"/>
          <w:iCs/>
          <w:szCs w:val="24"/>
          <w:lang w:val="en-US" w:eastAsia="en-US"/>
        </w:rPr>
        <w:t>savrupmāja (vienas ģimenes dzīvojamā māja vai vasarnīca) – apbūves blīvums 10%, apbūves intensitāte 27% un minimālā brīvā zaļā teritorija 80%.</w:t>
      </w:r>
    </w:p>
    <w:p w14:paraId="0C97FB0E" w14:textId="77777777" w:rsidR="00D20078" w:rsidRPr="00AB20AA" w:rsidRDefault="00D20078" w:rsidP="00D20078">
      <w:pPr>
        <w:ind w:firstLine="425"/>
        <w:jc w:val="both"/>
        <w:rPr>
          <w:iCs/>
          <w:szCs w:val="24"/>
          <w:lang w:eastAsia="en-US"/>
        </w:rPr>
      </w:pPr>
      <w:r w:rsidRPr="00AB20AA">
        <w:rPr>
          <w:iCs/>
          <w:szCs w:val="24"/>
          <w:lang w:eastAsia="en-US"/>
        </w:rPr>
        <w:t>Atbilstoši Detālplānojuma Teritorijas izmantošanas un apbūves noteikumu 1.3. apakšpunktam aizliegta zemesgabala turpmāka sadalīšana.</w:t>
      </w:r>
    </w:p>
    <w:p w14:paraId="3D871111" w14:textId="77777777" w:rsidR="00D20078" w:rsidRPr="00AB20AA" w:rsidRDefault="00D20078" w:rsidP="00D20078">
      <w:pPr>
        <w:ind w:firstLine="425"/>
        <w:jc w:val="both"/>
        <w:rPr>
          <w:iCs/>
          <w:color w:val="FF0000"/>
          <w:szCs w:val="24"/>
          <w:lang w:eastAsia="en-US"/>
        </w:rPr>
      </w:pPr>
    </w:p>
    <w:p w14:paraId="01A68FDF" w14:textId="77777777" w:rsidR="00D20078" w:rsidRPr="00AB20AA" w:rsidRDefault="00D20078" w:rsidP="00D20078">
      <w:pPr>
        <w:ind w:firstLine="425"/>
        <w:jc w:val="both"/>
        <w:rPr>
          <w:bCs/>
          <w:szCs w:val="24"/>
        </w:rPr>
      </w:pPr>
      <w:r w:rsidRPr="00AB20AA">
        <w:rPr>
          <w:iCs/>
          <w:szCs w:val="24"/>
          <w:lang w:eastAsia="en-US"/>
        </w:rPr>
        <w:t xml:space="preserve">Saskaņā ar </w:t>
      </w:r>
      <w:r w:rsidRPr="00AB20AA">
        <w:rPr>
          <w:szCs w:val="24"/>
        </w:rPr>
        <w:t xml:space="preserve">Jūrmalas valstspilsētas Teritorijas plānojuma, kas apstiprināts ar Jūrmalas pilsētas domes 2012. gada 11. oktobra saistošajiem noteikumiem Nr. 42 “Par Jūrmalas pilsētas teritorijas plānojuma grafiskās daļas, teritorijas izmantošanas un apbūves noteikumu apstiprināšanu”, kurā veikti grozījumi ar Jūrmalas domes 2024. gada 25. janvāra saistošajiem noteikumiem Nr. 2 „Par Jūrmalas valstspilsētas teritorijas plānojuma grozījumu grafiskās daļas, teritorijas izmantošanas un apbūves noteikumu apstiprināšanu” teritorijas izmantošanas un apbūves noteikumiem (turpmāk – Apbūves noteikumi), zemes vienība Kāpu iela 155/157, Jūrmalā atrodas </w:t>
      </w:r>
      <w:r w:rsidRPr="00AB20AA">
        <w:rPr>
          <w:b/>
          <w:bCs/>
          <w:szCs w:val="24"/>
        </w:rPr>
        <w:t>Publiskās apbūves teritorijā (P56)</w:t>
      </w:r>
      <w:r w:rsidRPr="00AB20AA">
        <w:rPr>
          <w:b/>
          <w:szCs w:val="24"/>
        </w:rPr>
        <w:t xml:space="preserve">, </w:t>
      </w:r>
      <w:r w:rsidRPr="00AB20AA">
        <w:rPr>
          <w:bCs/>
          <w:szCs w:val="24"/>
        </w:rPr>
        <w:t>kā arī teritorijā ar īpašiem nosacījumiem:</w:t>
      </w:r>
    </w:p>
    <w:p w14:paraId="6DEA178E" w14:textId="77777777" w:rsidR="00D20078" w:rsidRPr="00AB20AA" w:rsidRDefault="00D20078" w:rsidP="00D20078">
      <w:pPr>
        <w:numPr>
          <w:ilvl w:val="0"/>
          <w:numId w:val="14"/>
        </w:numPr>
        <w:overflowPunct/>
        <w:autoSpaceDE/>
        <w:autoSpaceDN/>
        <w:adjustRightInd/>
        <w:spacing w:after="200" w:line="276" w:lineRule="auto"/>
        <w:contextualSpacing/>
        <w:jc w:val="both"/>
        <w:textAlignment w:val="auto"/>
        <w:rPr>
          <w:rFonts w:eastAsia="Calibri"/>
          <w:b/>
          <w:szCs w:val="24"/>
          <w:lang w:val="en-US" w:eastAsia="en-US"/>
        </w:rPr>
      </w:pPr>
      <w:r w:rsidRPr="00AB20AA">
        <w:rPr>
          <w:rFonts w:eastAsia="Calibri"/>
          <w:b/>
          <w:szCs w:val="24"/>
          <w:lang w:val="en-US" w:eastAsia="en-US"/>
        </w:rPr>
        <w:t>Jaukta kūrorta teritorija (TIN13),</w:t>
      </w:r>
    </w:p>
    <w:p w14:paraId="48968F9C" w14:textId="77777777" w:rsidR="00D20078" w:rsidRPr="00AB20AA" w:rsidRDefault="00D20078" w:rsidP="00D20078">
      <w:pPr>
        <w:numPr>
          <w:ilvl w:val="0"/>
          <w:numId w:val="14"/>
        </w:numPr>
        <w:overflowPunct/>
        <w:autoSpaceDE/>
        <w:autoSpaceDN/>
        <w:adjustRightInd/>
        <w:spacing w:after="200" w:line="276" w:lineRule="auto"/>
        <w:contextualSpacing/>
        <w:jc w:val="both"/>
        <w:textAlignment w:val="auto"/>
        <w:rPr>
          <w:rFonts w:eastAsia="Calibri"/>
          <w:b/>
          <w:szCs w:val="24"/>
          <w:lang w:val="en-US" w:eastAsia="en-US"/>
        </w:rPr>
      </w:pPr>
      <w:r w:rsidRPr="00AB20AA">
        <w:rPr>
          <w:rFonts w:eastAsia="Calibri"/>
          <w:b/>
          <w:szCs w:val="24"/>
          <w:lang w:val="en-US" w:eastAsia="en-US"/>
        </w:rPr>
        <w:t>Teritorijas, kurās ierīkojamas centralizētas ūdensapgādes un kanalizācijas sistēmas (TIN118).</w:t>
      </w:r>
    </w:p>
    <w:p w14:paraId="53101DC6" w14:textId="77777777" w:rsidR="00D20078" w:rsidRPr="00AB20AA" w:rsidRDefault="00D20078" w:rsidP="00D20078">
      <w:pPr>
        <w:ind w:firstLine="425"/>
        <w:jc w:val="both"/>
        <w:rPr>
          <w:iCs/>
          <w:szCs w:val="24"/>
        </w:rPr>
      </w:pPr>
      <w:r w:rsidRPr="00AB20AA">
        <w:rPr>
          <w:iCs/>
          <w:szCs w:val="24"/>
        </w:rPr>
        <w:lastRenderedPageBreak/>
        <w:t>Publiskās apbūves teritorija (P) ir funkcionālā zona, ko nosaka, lai nodrošinātu gan komerciālu, gan nekomerciālu publiska rakstura iestāžu un objektu izvietošanu, paredzot atbilstošu infrastruktūru.</w:t>
      </w:r>
    </w:p>
    <w:p w14:paraId="2C53276C" w14:textId="77777777" w:rsidR="00D20078" w:rsidRPr="00AB20AA" w:rsidRDefault="00D20078" w:rsidP="00D20078">
      <w:pPr>
        <w:ind w:firstLine="425"/>
        <w:jc w:val="both"/>
        <w:rPr>
          <w:iCs/>
          <w:szCs w:val="24"/>
        </w:rPr>
      </w:pPr>
    </w:p>
    <w:p w14:paraId="0D1C22B2" w14:textId="77777777" w:rsidR="00D20078" w:rsidRPr="00AB20AA" w:rsidRDefault="00D20078" w:rsidP="00D20078">
      <w:pPr>
        <w:widowControl w:val="0"/>
        <w:tabs>
          <w:tab w:val="left" w:pos="1601"/>
        </w:tabs>
        <w:kinsoku w:val="0"/>
        <w:outlineLvl w:val="2"/>
        <w:rPr>
          <w:szCs w:val="24"/>
          <w:u w:val="single"/>
        </w:rPr>
      </w:pPr>
      <w:r w:rsidRPr="00AB20AA">
        <w:rPr>
          <w:bCs/>
          <w:iCs/>
          <w:spacing w:val="-10"/>
          <w:szCs w:val="24"/>
          <w:u w:val="single"/>
        </w:rPr>
        <w:t>T</w:t>
      </w:r>
      <w:r w:rsidRPr="00AB20AA">
        <w:rPr>
          <w:bCs/>
          <w:iCs/>
          <w:spacing w:val="-1"/>
          <w:szCs w:val="24"/>
          <w:u w:val="single"/>
        </w:rPr>
        <w:t>e</w:t>
      </w:r>
      <w:r w:rsidRPr="00AB20AA">
        <w:rPr>
          <w:bCs/>
          <w:iCs/>
          <w:spacing w:val="-2"/>
          <w:szCs w:val="24"/>
          <w:u w:val="single"/>
        </w:rPr>
        <w:t>r</w:t>
      </w:r>
      <w:r w:rsidRPr="00AB20AA">
        <w:rPr>
          <w:bCs/>
          <w:iCs/>
          <w:szCs w:val="24"/>
          <w:u w:val="single"/>
        </w:rPr>
        <w:t>it</w:t>
      </w:r>
      <w:r w:rsidRPr="00AB20AA">
        <w:rPr>
          <w:bCs/>
          <w:iCs/>
          <w:spacing w:val="-1"/>
          <w:szCs w:val="24"/>
          <w:u w:val="single"/>
        </w:rPr>
        <w:t>o</w:t>
      </w:r>
      <w:r w:rsidRPr="00AB20AA">
        <w:rPr>
          <w:bCs/>
          <w:iCs/>
          <w:spacing w:val="-2"/>
          <w:szCs w:val="24"/>
          <w:u w:val="single"/>
        </w:rPr>
        <w:t>r</w:t>
      </w:r>
      <w:r w:rsidRPr="00AB20AA">
        <w:rPr>
          <w:bCs/>
          <w:iCs/>
          <w:szCs w:val="24"/>
          <w:u w:val="single"/>
        </w:rPr>
        <w:t>ij</w:t>
      </w:r>
      <w:r w:rsidRPr="00AB20AA">
        <w:rPr>
          <w:bCs/>
          <w:iCs/>
          <w:spacing w:val="-1"/>
          <w:szCs w:val="24"/>
          <w:u w:val="single"/>
        </w:rPr>
        <w:t>a</w:t>
      </w:r>
      <w:r w:rsidRPr="00AB20AA">
        <w:rPr>
          <w:bCs/>
          <w:iCs/>
          <w:szCs w:val="24"/>
          <w:u w:val="single"/>
        </w:rPr>
        <w:t>s</w:t>
      </w:r>
      <w:r w:rsidRPr="00AB20AA">
        <w:rPr>
          <w:bCs/>
          <w:iCs/>
          <w:spacing w:val="-5"/>
          <w:szCs w:val="24"/>
          <w:u w:val="single"/>
        </w:rPr>
        <w:t xml:space="preserve"> </w:t>
      </w:r>
      <w:r w:rsidRPr="00AB20AA">
        <w:rPr>
          <w:bCs/>
          <w:iCs/>
          <w:spacing w:val="-1"/>
          <w:szCs w:val="24"/>
          <w:u w:val="single"/>
        </w:rPr>
        <w:t>ga</w:t>
      </w:r>
      <w:r w:rsidRPr="00AB20AA">
        <w:rPr>
          <w:bCs/>
          <w:iCs/>
          <w:szCs w:val="24"/>
          <w:u w:val="single"/>
        </w:rPr>
        <w:t>l</w:t>
      </w:r>
      <w:r w:rsidRPr="00AB20AA">
        <w:rPr>
          <w:bCs/>
          <w:iCs/>
          <w:spacing w:val="-1"/>
          <w:szCs w:val="24"/>
          <w:u w:val="single"/>
        </w:rPr>
        <w:t>ven</w:t>
      </w:r>
      <w:r w:rsidRPr="00AB20AA">
        <w:rPr>
          <w:bCs/>
          <w:iCs/>
          <w:szCs w:val="24"/>
          <w:u w:val="single"/>
        </w:rPr>
        <w:t>ie</w:t>
      </w:r>
      <w:r w:rsidRPr="00AB20AA">
        <w:rPr>
          <w:bCs/>
          <w:iCs/>
          <w:spacing w:val="-5"/>
          <w:szCs w:val="24"/>
          <w:u w:val="single"/>
        </w:rPr>
        <w:t xml:space="preserve"> </w:t>
      </w:r>
      <w:r w:rsidRPr="00AB20AA">
        <w:rPr>
          <w:bCs/>
          <w:iCs/>
          <w:spacing w:val="-2"/>
          <w:szCs w:val="24"/>
          <w:u w:val="single"/>
        </w:rPr>
        <w:t>i</w:t>
      </w:r>
      <w:r w:rsidRPr="00AB20AA">
        <w:rPr>
          <w:bCs/>
          <w:iCs/>
          <w:szCs w:val="24"/>
          <w:u w:val="single"/>
        </w:rPr>
        <w:t>zm</w:t>
      </w:r>
      <w:r w:rsidRPr="00AB20AA">
        <w:rPr>
          <w:bCs/>
          <w:iCs/>
          <w:spacing w:val="-1"/>
          <w:szCs w:val="24"/>
          <w:u w:val="single"/>
        </w:rPr>
        <w:t>an</w:t>
      </w:r>
      <w:r w:rsidRPr="00AB20AA">
        <w:rPr>
          <w:bCs/>
          <w:iCs/>
          <w:szCs w:val="24"/>
          <w:u w:val="single"/>
        </w:rPr>
        <w:t>t</w:t>
      </w:r>
      <w:r w:rsidRPr="00AB20AA">
        <w:rPr>
          <w:bCs/>
          <w:iCs/>
          <w:spacing w:val="-1"/>
          <w:szCs w:val="24"/>
          <w:u w:val="single"/>
        </w:rPr>
        <w:t>ošan</w:t>
      </w:r>
      <w:r w:rsidRPr="00AB20AA">
        <w:rPr>
          <w:bCs/>
          <w:iCs/>
          <w:spacing w:val="1"/>
          <w:szCs w:val="24"/>
          <w:u w:val="single"/>
        </w:rPr>
        <w:t>a</w:t>
      </w:r>
      <w:r w:rsidRPr="00AB20AA">
        <w:rPr>
          <w:bCs/>
          <w:iCs/>
          <w:szCs w:val="24"/>
          <w:u w:val="single"/>
        </w:rPr>
        <w:t>s</w:t>
      </w:r>
      <w:r w:rsidRPr="00AB20AA">
        <w:rPr>
          <w:bCs/>
          <w:iCs/>
          <w:spacing w:val="-5"/>
          <w:szCs w:val="24"/>
          <w:u w:val="single"/>
        </w:rPr>
        <w:t xml:space="preserve"> </w:t>
      </w:r>
      <w:r w:rsidRPr="00AB20AA">
        <w:rPr>
          <w:bCs/>
          <w:iCs/>
          <w:spacing w:val="-1"/>
          <w:szCs w:val="24"/>
          <w:u w:val="single"/>
        </w:rPr>
        <w:t>ve</w:t>
      </w:r>
      <w:r w:rsidRPr="00AB20AA">
        <w:rPr>
          <w:bCs/>
          <w:iCs/>
          <w:szCs w:val="24"/>
          <w:u w:val="single"/>
        </w:rPr>
        <w:t>i</w:t>
      </w:r>
      <w:r w:rsidRPr="00AB20AA">
        <w:rPr>
          <w:bCs/>
          <w:iCs/>
          <w:spacing w:val="-3"/>
          <w:szCs w:val="24"/>
          <w:u w:val="single"/>
        </w:rPr>
        <w:t>d</w:t>
      </w:r>
      <w:r w:rsidRPr="00AB20AA">
        <w:rPr>
          <w:bCs/>
          <w:iCs/>
          <w:szCs w:val="24"/>
          <w:u w:val="single"/>
        </w:rPr>
        <w:t>i</w:t>
      </w:r>
      <w:r w:rsidRPr="00AB20AA">
        <w:rPr>
          <w:szCs w:val="24"/>
          <w:u w:val="single"/>
        </w:rPr>
        <w:t>:</w:t>
      </w:r>
    </w:p>
    <w:p w14:paraId="0B6BAC95" w14:textId="77777777" w:rsidR="00D20078" w:rsidRPr="00AB20AA" w:rsidRDefault="00D20078" w:rsidP="00D20078">
      <w:pPr>
        <w:jc w:val="both"/>
        <w:rPr>
          <w:b/>
          <w:bCs/>
          <w:szCs w:val="24"/>
        </w:rPr>
      </w:pPr>
      <w:r w:rsidRPr="00AB20AA">
        <w:rPr>
          <w:b/>
          <w:bCs/>
          <w:szCs w:val="24"/>
        </w:rPr>
        <w:t>Biroju ēku apbūve</w:t>
      </w:r>
      <w:r w:rsidRPr="00AB20AA">
        <w:rPr>
          <w:szCs w:val="24"/>
        </w:rPr>
        <w:t xml:space="preserve"> (12001).</w:t>
      </w:r>
    </w:p>
    <w:p w14:paraId="3CC88029" w14:textId="77777777" w:rsidR="00D20078" w:rsidRPr="00AB20AA" w:rsidRDefault="00D20078" w:rsidP="00D20078">
      <w:pPr>
        <w:jc w:val="both"/>
        <w:rPr>
          <w:szCs w:val="24"/>
        </w:rPr>
      </w:pPr>
      <w:r w:rsidRPr="00AB20AA">
        <w:rPr>
          <w:b/>
          <w:bCs/>
          <w:szCs w:val="24"/>
        </w:rPr>
        <w:t xml:space="preserve">Tirdzniecības vai pakalpojumu objektu apbūve </w:t>
      </w:r>
      <w:r w:rsidRPr="00AB20AA">
        <w:rPr>
          <w:szCs w:val="24"/>
        </w:rPr>
        <w:t>(12002): apbūve, ko veido veikali, aptiekas, sabiedriskās ēdināšanas uzņēmumi, tirgus, tirgus paviljoni, sezonas rakstura tirdzniecības vai pakalpojumu objekti (tirdzniecības kioski un segtie tirdzniecības stendi), restorāni, bāri, kafejnīcas, kā arī sadzīves un citu pakalpojumu objekti.</w:t>
      </w:r>
      <w:r w:rsidRPr="00AB20AA">
        <w:rPr>
          <w:szCs w:val="24"/>
        </w:rPr>
        <w:cr/>
      </w:r>
      <w:r w:rsidRPr="00AB20AA">
        <w:rPr>
          <w:b/>
          <w:bCs/>
          <w:szCs w:val="24"/>
        </w:rPr>
        <w:t xml:space="preserve">Tūrisma un atpūtas iestāžu apbūve </w:t>
      </w:r>
      <w:r w:rsidRPr="00AB20AA">
        <w:rPr>
          <w:szCs w:val="24"/>
        </w:rPr>
        <w:t>(12003): apbūve, ko veido viesnīcas, moteļi, viesu mājas un cita veida īslaicīgas apmešanās vietas (viesu nami, pansijas) un citi izmitināšanas pakalpojumu nodrošināšanai nepieciešamie objekti un infrastruktūra.</w:t>
      </w:r>
    </w:p>
    <w:p w14:paraId="72E968ED" w14:textId="77777777" w:rsidR="00D20078" w:rsidRPr="00AB20AA" w:rsidRDefault="00D20078" w:rsidP="00D20078">
      <w:pPr>
        <w:jc w:val="both"/>
        <w:rPr>
          <w:b/>
          <w:bCs/>
          <w:szCs w:val="24"/>
        </w:rPr>
      </w:pPr>
      <w:r w:rsidRPr="00AB20AA">
        <w:rPr>
          <w:b/>
          <w:bCs/>
          <w:szCs w:val="24"/>
        </w:rPr>
        <w:t xml:space="preserve">Kultūras iestāžu apbūve </w:t>
      </w:r>
      <w:r w:rsidRPr="00AB20AA">
        <w:rPr>
          <w:szCs w:val="24"/>
        </w:rPr>
        <w:t>(12004): apbūve, ko veido teātri, koncertzāles, apjumtas vasaras estrādes, kultūras nami, cirka ēkas, muzeji, arhīvu un bibliotēku ēkas, plašsaziņas līdzekļu centri, izstāžu zāles, citas mākslas, izklaides un atpūtas iestādes un to darbības nodrošināšanai nepieciešamie objekti un infrastruktūra.</w:t>
      </w:r>
    </w:p>
    <w:p w14:paraId="7F6B4999" w14:textId="77777777" w:rsidR="00D20078" w:rsidRPr="00AB20AA" w:rsidRDefault="00D20078" w:rsidP="00D20078">
      <w:pPr>
        <w:jc w:val="both"/>
        <w:rPr>
          <w:b/>
          <w:bCs/>
          <w:szCs w:val="24"/>
        </w:rPr>
      </w:pPr>
      <w:r w:rsidRPr="00AB20AA">
        <w:rPr>
          <w:b/>
          <w:bCs/>
          <w:szCs w:val="24"/>
        </w:rPr>
        <w:t xml:space="preserve">Sporta būvju apbūve </w:t>
      </w:r>
      <w:r w:rsidRPr="00AB20AA">
        <w:rPr>
          <w:szCs w:val="24"/>
        </w:rPr>
        <w:t>(12005) apbūve, ko veido ēkas sporta nodarbībām un sporta laukumi, sporta un atpūtas būves (piemēram, atklātie peldbaseini, t.sk. peldiestāde (vannu māja), atklāts dūņu un ūdeņu baseins, baseins atklātā ūdenī (norobežota akvatorijas daļa vai peldošs baseins).</w:t>
      </w:r>
    </w:p>
    <w:p w14:paraId="51F37C60" w14:textId="77777777" w:rsidR="00D20078" w:rsidRPr="00AB20AA" w:rsidRDefault="00D20078" w:rsidP="00D20078">
      <w:pPr>
        <w:jc w:val="both"/>
        <w:rPr>
          <w:szCs w:val="24"/>
        </w:rPr>
      </w:pPr>
      <w:r w:rsidRPr="00AB20AA">
        <w:rPr>
          <w:b/>
          <w:bCs/>
          <w:szCs w:val="24"/>
        </w:rPr>
        <w:t xml:space="preserve">Veselības aizsardzības iestāžu apbūve </w:t>
      </w:r>
      <w:r w:rsidRPr="00AB20AA">
        <w:rPr>
          <w:szCs w:val="24"/>
        </w:rPr>
        <w:t>(12008).</w:t>
      </w:r>
    </w:p>
    <w:p w14:paraId="04F74A37" w14:textId="77777777" w:rsidR="00D20078" w:rsidRPr="00AB20AA" w:rsidRDefault="00D20078" w:rsidP="00D20078">
      <w:pPr>
        <w:jc w:val="both"/>
        <w:rPr>
          <w:b/>
          <w:bCs/>
          <w:szCs w:val="24"/>
        </w:rPr>
      </w:pPr>
      <w:r w:rsidRPr="00AB20AA">
        <w:rPr>
          <w:b/>
          <w:bCs/>
          <w:szCs w:val="24"/>
        </w:rPr>
        <w:t xml:space="preserve">Sociālās aprūpes iestāžu apbūve </w:t>
      </w:r>
      <w:r w:rsidRPr="00AB20AA">
        <w:rPr>
          <w:szCs w:val="24"/>
        </w:rPr>
        <w:t>(12009).</w:t>
      </w:r>
    </w:p>
    <w:p w14:paraId="1DE6E391" w14:textId="77777777" w:rsidR="00D20078" w:rsidRPr="00AB20AA" w:rsidRDefault="00D20078" w:rsidP="00D20078">
      <w:pPr>
        <w:jc w:val="both"/>
        <w:rPr>
          <w:szCs w:val="24"/>
        </w:rPr>
      </w:pPr>
      <w:r w:rsidRPr="00AB20AA">
        <w:rPr>
          <w:b/>
          <w:bCs/>
          <w:szCs w:val="24"/>
        </w:rPr>
        <w:t xml:space="preserve">Labiekārtota ārtelpa </w:t>
      </w:r>
      <w:r w:rsidRPr="00AB20AA">
        <w:rPr>
          <w:szCs w:val="24"/>
        </w:rPr>
        <w:t>(24001): labiekārtota publiskā ārtelpa, izņemot kapsētas un dzīvnieku kapsētas.</w:t>
      </w:r>
    </w:p>
    <w:p w14:paraId="3DB5055F" w14:textId="77777777" w:rsidR="00D20078" w:rsidRPr="00AB20AA" w:rsidRDefault="00D20078" w:rsidP="00D20078">
      <w:pPr>
        <w:jc w:val="both"/>
        <w:rPr>
          <w:bCs/>
          <w:iCs/>
          <w:szCs w:val="24"/>
          <w:lang w:eastAsia="en-US"/>
        </w:rPr>
      </w:pPr>
    </w:p>
    <w:p w14:paraId="649BE33A" w14:textId="77777777" w:rsidR="00D20078" w:rsidRPr="00AB20AA" w:rsidRDefault="00D20078" w:rsidP="00D20078">
      <w:pPr>
        <w:jc w:val="both"/>
        <w:rPr>
          <w:bCs/>
          <w:iCs/>
          <w:szCs w:val="24"/>
          <w:u w:val="single"/>
          <w:lang w:eastAsia="en-US"/>
        </w:rPr>
      </w:pPr>
      <w:r w:rsidRPr="00AB20AA">
        <w:rPr>
          <w:bCs/>
          <w:iCs/>
          <w:szCs w:val="24"/>
          <w:u w:val="single"/>
          <w:lang w:eastAsia="en-US"/>
        </w:rPr>
        <w:t>Teritorijas papildizmantošanas veidi:</w:t>
      </w:r>
    </w:p>
    <w:p w14:paraId="4B69207B" w14:textId="77777777" w:rsidR="00D20078" w:rsidRPr="00AB20AA" w:rsidRDefault="00D20078" w:rsidP="00D20078">
      <w:pPr>
        <w:jc w:val="both"/>
        <w:rPr>
          <w:bCs/>
          <w:iCs/>
          <w:szCs w:val="24"/>
          <w:lang w:eastAsia="en-US"/>
        </w:rPr>
      </w:pPr>
      <w:r w:rsidRPr="00AB20AA">
        <w:rPr>
          <w:b/>
          <w:iCs/>
          <w:szCs w:val="24"/>
          <w:lang w:eastAsia="en-US"/>
        </w:rPr>
        <w:t>Rindu māju apbūve</w:t>
      </w:r>
      <w:r w:rsidRPr="00AB20AA">
        <w:rPr>
          <w:bCs/>
          <w:iCs/>
          <w:szCs w:val="24"/>
          <w:lang w:eastAsia="en-US"/>
        </w:rPr>
        <w:t xml:space="preserve"> (11005).</w:t>
      </w:r>
    </w:p>
    <w:p w14:paraId="1B0FE48E" w14:textId="77777777" w:rsidR="00D20078" w:rsidRPr="00AB20AA" w:rsidRDefault="00D20078" w:rsidP="00D20078">
      <w:pPr>
        <w:jc w:val="both"/>
        <w:rPr>
          <w:bCs/>
          <w:iCs/>
          <w:szCs w:val="24"/>
          <w:lang w:eastAsia="en-US"/>
        </w:rPr>
      </w:pPr>
      <w:r w:rsidRPr="00AB20AA">
        <w:rPr>
          <w:b/>
          <w:iCs/>
          <w:szCs w:val="24"/>
          <w:lang w:eastAsia="en-US"/>
        </w:rPr>
        <w:t>Daudzdzīvokļu māju apbūve</w:t>
      </w:r>
      <w:r w:rsidRPr="00AB20AA">
        <w:rPr>
          <w:bCs/>
          <w:iCs/>
          <w:szCs w:val="24"/>
          <w:lang w:eastAsia="en-US"/>
        </w:rPr>
        <w:t xml:space="preserve"> (11006).</w:t>
      </w:r>
    </w:p>
    <w:p w14:paraId="4BBFD535" w14:textId="77777777" w:rsidR="00D20078" w:rsidRPr="00AB20AA" w:rsidRDefault="00D20078" w:rsidP="00D20078">
      <w:pPr>
        <w:jc w:val="both"/>
        <w:rPr>
          <w:bCs/>
          <w:iCs/>
          <w:szCs w:val="24"/>
          <w:lang w:eastAsia="en-US"/>
        </w:rPr>
      </w:pPr>
    </w:p>
    <w:p w14:paraId="19631FE2" w14:textId="77777777" w:rsidR="00D20078" w:rsidRPr="00AB20AA" w:rsidRDefault="00D20078" w:rsidP="00D20078">
      <w:pPr>
        <w:jc w:val="both"/>
        <w:rPr>
          <w:szCs w:val="24"/>
          <w:u w:val="single"/>
          <w:lang w:eastAsia="en-US"/>
        </w:rPr>
      </w:pPr>
      <w:r w:rsidRPr="00AB20AA">
        <w:rPr>
          <w:szCs w:val="24"/>
          <w:u w:val="single"/>
          <w:lang w:eastAsia="en-US"/>
        </w:rPr>
        <w:t>Atļautie apbūves parametri:</w:t>
      </w:r>
    </w:p>
    <w:p w14:paraId="0ACADB79" w14:textId="77777777" w:rsidR="00D20078" w:rsidRPr="00AB20AA" w:rsidRDefault="00D20078" w:rsidP="00D20078">
      <w:pPr>
        <w:ind w:firstLine="720"/>
        <w:rPr>
          <w:bCs/>
          <w:szCs w:val="24"/>
          <w:lang w:eastAsia="en-US"/>
        </w:rPr>
      </w:pPr>
      <w:r w:rsidRPr="00AB20AA">
        <w:rPr>
          <w:bCs/>
          <w:szCs w:val="24"/>
          <w:lang w:eastAsia="en-US"/>
        </w:rPr>
        <w:t>Zemes vienības maksimālais apbūves blīvums – 30%;</w:t>
      </w:r>
    </w:p>
    <w:p w14:paraId="2352778B" w14:textId="77777777" w:rsidR="00D20078" w:rsidRPr="00AB20AA" w:rsidRDefault="00D20078" w:rsidP="00D20078">
      <w:pPr>
        <w:ind w:firstLine="720"/>
        <w:jc w:val="both"/>
        <w:rPr>
          <w:bCs/>
          <w:szCs w:val="24"/>
          <w:lang w:eastAsia="en-US"/>
        </w:rPr>
      </w:pPr>
      <w:r w:rsidRPr="00AB20AA">
        <w:rPr>
          <w:bCs/>
          <w:szCs w:val="24"/>
          <w:lang w:eastAsia="en-US"/>
        </w:rPr>
        <w:t>Zemes vienības maksimālā apbūves intensitāte – līdz 105%;</w:t>
      </w:r>
    </w:p>
    <w:p w14:paraId="2DC0C705" w14:textId="77777777" w:rsidR="00D20078" w:rsidRPr="00AB20AA" w:rsidRDefault="00D20078" w:rsidP="00D20078">
      <w:pPr>
        <w:ind w:firstLine="709"/>
        <w:rPr>
          <w:szCs w:val="24"/>
          <w:lang w:eastAsia="en-US"/>
        </w:rPr>
      </w:pPr>
      <w:r w:rsidRPr="00AB20AA">
        <w:rPr>
          <w:bCs/>
          <w:szCs w:val="24"/>
          <w:lang w:eastAsia="en-US"/>
        </w:rPr>
        <w:t>Zemes vienības minimālā brīvā zaļā teritorija – 40%;</w:t>
      </w:r>
    </w:p>
    <w:p w14:paraId="579FD525" w14:textId="77777777" w:rsidR="00D20078" w:rsidRPr="00AB20AA" w:rsidRDefault="00D20078" w:rsidP="00D20078">
      <w:pPr>
        <w:ind w:left="6804" w:hanging="6095"/>
        <w:jc w:val="both"/>
        <w:rPr>
          <w:bCs/>
          <w:szCs w:val="24"/>
          <w:lang w:eastAsia="en-US"/>
        </w:rPr>
      </w:pPr>
      <w:r w:rsidRPr="00AB20AA">
        <w:rPr>
          <w:bCs/>
          <w:szCs w:val="24"/>
          <w:lang w:eastAsia="en-US"/>
        </w:rPr>
        <w:t xml:space="preserve">Maksimālais apbūves augstums un stāvu skaits apbūvei līdz 15 m, 4 stāvi un </w:t>
      </w:r>
    </w:p>
    <w:p w14:paraId="29C0CD7A" w14:textId="77777777" w:rsidR="00D20078" w:rsidRPr="00AB20AA" w:rsidRDefault="00D20078" w:rsidP="00D20078">
      <w:pPr>
        <w:ind w:left="6804" w:hanging="6095"/>
        <w:jc w:val="both"/>
        <w:rPr>
          <w:bCs/>
          <w:szCs w:val="24"/>
          <w:lang w:eastAsia="en-US"/>
        </w:rPr>
      </w:pPr>
      <w:r w:rsidRPr="00AB20AA">
        <w:rPr>
          <w:bCs/>
          <w:szCs w:val="24"/>
          <w:lang w:eastAsia="en-US"/>
        </w:rPr>
        <w:t>4. stāva platība nedrīkst pārsniegt 66% no 3. stāva platības.</w:t>
      </w:r>
    </w:p>
    <w:p w14:paraId="64977D69" w14:textId="77777777" w:rsidR="00D20078" w:rsidRPr="00AB20AA" w:rsidRDefault="00D20078" w:rsidP="00D20078">
      <w:pPr>
        <w:rPr>
          <w:b/>
          <w:bCs/>
          <w:szCs w:val="24"/>
          <w:lang w:eastAsia="en-US"/>
        </w:rPr>
      </w:pPr>
    </w:p>
    <w:p w14:paraId="22B318E9" w14:textId="77777777" w:rsidR="00D20078" w:rsidRPr="00AB20AA" w:rsidRDefault="00D20078" w:rsidP="00D20078">
      <w:pPr>
        <w:ind w:firstLine="360"/>
        <w:jc w:val="both"/>
        <w:rPr>
          <w:szCs w:val="24"/>
          <w:lang w:eastAsia="en-US"/>
        </w:rPr>
      </w:pPr>
      <w:r w:rsidRPr="00AB20AA">
        <w:rPr>
          <w:szCs w:val="24"/>
          <w:lang w:eastAsia="en-US"/>
        </w:rPr>
        <w:t xml:space="preserve">Apbūves noteikumu 4.4.52.4. apakšpunkts </w:t>
      </w:r>
      <w:r w:rsidRPr="00AB20AA">
        <w:rPr>
          <w:i/>
          <w:iCs/>
          <w:szCs w:val="24"/>
          <w:lang w:eastAsia="en-US"/>
        </w:rPr>
        <w:t>Apbūves parametri</w:t>
      </w:r>
      <w:r w:rsidRPr="00AB20AA">
        <w:rPr>
          <w:szCs w:val="24"/>
          <w:lang w:eastAsia="en-US"/>
        </w:rPr>
        <w:t xml:space="preserve"> nosaka, ka jaunizveidojamo zemesgabalu minimālā platība šajā teritorijā ir 4000 m</w:t>
      </w:r>
      <w:r w:rsidRPr="00AB20AA">
        <w:rPr>
          <w:szCs w:val="24"/>
          <w:vertAlign w:val="superscript"/>
          <w:lang w:eastAsia="en-US"/>
        </w:rPr>
        <w:t>2</w:t>
      </w:r>
      <w:r w:rsidRPr="00AB20AA">
        <w:rPr>
          <w:szCs w:val="24"/>
          <w:lang w:eastAsia="en-US"/>
        </w:rPr>
        <w:t>, risinājumu izstrādā detālplānojumā.</w:t>
      </w:r>
    </w:p>
    <w:p w14:paraId="4BCF6E79" w14:textId="77777777" w:rsidR="00D20078" w:rsidRPr="00AB20AA" w:rsidRDefault="00D20078" w:rsidP="00D20078">
      <w:pPr>
        <w:ind w:firstLine="360"/>
        <w:jc w:val="both"/>
        <w:rPr>
          <w:szCs w:val="24"/>
          <w:lang w:eastAsia="en-US"/>
        </w:rPr>
      </w:pPr>
    </w:p>
    <w:p w14:paraId="6FCDEAE6" w14:textId="77777777" w:rsidR="00D20078" w:rsidRPr="00AB20AA" w:rsidRDefault="00D20078" w:rsidP="00D20078">
      <w:pPr>
        <w:ind w:firstLine="360"/>
        <w:jc w:val="both"/>
        <w:rPr>
          <w:szCs w:val="24"/>
          <w:lang w:eastAsia="en-US"/>
        </w:rPr>
      </w:pPr>
      <w:r w:rsidRPr="00AB20AA">
        <w:rPr>
          <w:szCs w:val="24"/>
          <w:lang w:eastAsia="en-US"/>
        </w:rPr>
        <w:t>Minimālā platība zemes vienībā vienas ēkas vai tās raksturīgās daļas izvietošanai, ietverot arī platības, ko aizņem palīgēkas, ir šāda:</w:t>
      </w:r>
    </w:p>
    <w:p w14:paraId="49B97CAE" w14:textId="77777777" w:rsidR="00D20078" w:rsidRPr="00AB20AA"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savrupmājai vai dvīņu mājas pusei – 800 m</w:t>
      </w:r>
      <w:r w:rsidRPr="00AB20AA">
        <w:rPr>
          <w:rFonts w:eastAsia="Calibri"/>
          <w:szCs w:val="24"/>
          <w:vertAlign w:val="superscript"/>
          <w:lang w:val="en-US" w:eastAsia="en-US"/>
        </w:rPr>
        <w:t>2</w:t>
      </w:r>
      <w:r w:rsidRPr="00AB20AA">
        <w:rPr>
          <w:rFonts w:eastAsia="Calibri"/>
          <w:szCs w:val="24"/>
          <w:lang w:val="en-US" w:eastAsia="en-US"/>
        </w:rPr>
        <w:t>, izņemot gadījumus kad reālā zemes vienības platība izveidota balstoties uz vēsturiskajiem datiem uz 1940.gadu vai zemes reformas laikā, vai ar tiesas lēmumu ir mazāka par 800 m</w:t>
      </w:r>
      <w:r w:rsidRPr="00AB20AA">
        <w:rPr>
          <w:rFonts w:eastAsia="Calibri"/>
          <w:szCs w:val="24"/>
          <w:vertAlign w:val="superscript"/>
          <w:lang w:val="en-US" w:eastAsia="en-US"/>
        </w:rPr>
        <w:t>2</w:t>
      </w:r>
      <w:r w:rsidRPr="00AB20AA">
        <w:rPr>
          <w:rFonts w:eastAsia="Calibri"/>
          <w:szCs w:val="24"/>
          <w:lang w:val="en-US" w:eastAsia="en-US"/>
        </w:rPr>
        <w:t>;</w:t>
      </w:r>
    </w:p>
    <w:p w14:paraId="6BF0F441" w14:textId="77777777" w:rsidR="00D20078" w:rsidRPr="00AB20AA"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vienai rindu mājas sekcijai – 600 m</w:t>
      </w:r>
      <w:r w:rsidRPr="00AB20AA">
        <w:rPr>
          <w:rFonts w:eastAsia="Calibri"/>
          <w:szCs w:val="24"/>
          <w:vertAlign w:val="superscript"/>
          <w:lang w:val="en-US" w:eastAsia="en-US"/>
        </w:rPr>
        <w:t>2</w:t>
      </w:r>
      <w:r w:rsidRPr="00AB20AA">
        <w:rPr>
          <w:rFonts w:eastAsia="Calibri"/>
          <w:szCs w:val="24"/>
          <w:lang w:val="en-US" w:eastAsia="en-US"/>
        </w:rPr>
        <w:t>;</w:t>
      </w:r>
    </w:p>
    <w:p w14:paraId="15D741AD" w14:textId="77777777" w:rsidR="00D20078" w:rsidRPr="00AB20AA"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vienai daudzdzīvokļu dzīvojamai ēkai, kuras augstums nepārsniedz 3,5 stāvus – 2200 m</w:t>
      </w:r>
      <w:r w:rsidRPr="00AB20AA">
        <w:rPr>
          <w:rFonts w:eastAsia="Calibri"/>
          <w:szCs w:val="24"/>
          <w:vertAlign w:val="superscript"/>
          <w:lang w:val="en-US" w:eastAsia="en-US"/>
        </w:rPr>
        <w:t>2</w:t>
      </w:r>
      <w:r w:rsidRPr="00AB20AA">
        <w:rPr>
          <w:rFonts w:eastAsia="Calibri"/>
          <w:szCs w:val="24"/>
          <w:lang w:val="en-US" w:eastAsia="en-US"/>
        </w:rPr>
        <w:t>;</w:t>
      </w:r>
    </w:p>
    <w:p w14:paraId="7DFF383A" w14:textId="77777777" w:rsidR="00D20078" w:rsidRPr="00AB20AA"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vienai daudzdzīvokļu dzīvojamai ēkai, kuras augstums ir lielāks par 3,5 stāviem – 3000 m</w:t>
      </w:r>
      <w:r w:rsidRPr="00AB20AA">
        <w:rPr>
          <w:rFonts w:eastAsia="Calibri"/>
          <w:szCs w:val="24"/>
          <w:vertAlign w:val="superscript"/>
          <w:lang w:val="en-US" w:eastAsia="en-US"/>
        </w:rPr>
        <w:t>2</w:t>
      </w:r>
      <w:r w:rsidRPr="00AB20AA">
        <w:rPr>
          <w:rFonts w:eastAsia="Calibri"/>
          <w:szCs w:val="24"/>
          <w:lang w:val="en-US" w:eastAsia="en-US"/>
        </w:rPr>
        <w:t>;</w:t>
      </w:r>
    </w:p>
    <w:p w14:paraId="431CF39E" w14:textId="77777777" w:rsidR="00D20078" w:rsidRPr="00AB20AA"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nedzīvojamai ēkai atbilstoši apbūves parametriem, bet ne mazāk kā – 600 m</w:t>
      </w:r>
      <w:r w:rsidRPr="00AB20AA">
        <w:rPr>
          <w:rFonts w:eastAsia="Calibri"/>
          <w:szCs w:val="24"/>
          <w:vertAlign w:val="superscript"/>
          <w:lang w:val="en-US" w:eastAsia="en-US"/>
        </w:rPr>
        <w:t>2</w:t>
      </w:r>
      <w:r w:rsidRPr="00AB20AA">
        <w:rPr>
          <w:rFonts w:eastAsia="Calibri"/>
          <w:szCs w:val="24"/>
          <w:lang w:val="en-US" w:eastAsia="en-US"/>
        </w:rPr>
        <w:t>, izņemot inženiertīklu būves un gadījumus, kad reālā zemes vienības platība izveidota balstoties uz vēsturiskajiem datiem uz 1940.gadu vai zemes reformas laikā vai ar tiesas lēmumu ir mazāka par 600 m</w:t>
      </w:r>
      <w:r w:rsidRPr="00AB20AA">
        <w:rPr>
          <w:rFonts w:eastAsia="Calibri"/>
          <w:szCs w:val="24"/>
          <w:vertAlign w:val="superscript"/>
          <w:lang w:val="en-US" w:eastAsia="en-US"/>
        </w:rPr>
        <w:t>2</w:t>
      </w:r>
      <w:r w:rsidRPr="00AB20AA">
        <w:rPr>
          <w:rFonts w:eastAsia="Calibri"/>
          <w:szCs w:val="24"/>
          <w:lang w:val="en-US" w:eastAsia="en-US"/>
        </w:rPr>
        <w:t>;</w:t>
      </w:r>
    </w:p>
    <w:p w14:paraId="48BAD9A0" w14:textId="77777777" w:rsidR="00D20078" w:rsidRDefault="00D20078" w:rsidP="00D20078">
      <w:pPr>
        <w:numPr>
          <w:ilvl w:val="0"/>
          <w:numId w:val="17"/>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lastRenderedPageBreak/>
        <w:t>viesu izmitināšanas objektam, kura augstums ir lielāks par 2,5 stāviem – 2200 m</w:t>
      </w:r>
      <w:r w:rsidRPr="00AB20AA">
        <w:rPr>
          <w:rFonts w:eastAsia="Calibri"/>
          <w:szCs w:val="24"/>
          <w:vertAlign w:val="superscript"/>
          <w:lang w:val="en-US" w:eastAsia="en-US"/>
        </w:rPr>
        <w:t>2</w:t>
      </w:r>
      <w:r w:rsidRPr="00AB20AA">
        <w:rPr>
          <w:rFonts w:eastAsia="Calibri"/>
          <w:szCs w:val="24"/>
          <w:lang w:val="en-US" w:eastAsia="en-US"/>
        </w:rPr>
        <w:t>.</w:t>
      </w:r>
    </w:p>
    <w:p w14:paraId="069C7C4C" w14:textId="77777777" w:rsidR="00F24B3E" w:rsidRPr="00AB20AA" w:rsidRDefault="00F24B3E" w:rsidP="00F24B3E">
      <w:pPr>
        <w:overflowPunct/>
        <w:autoSpaceDE/>
        <w:autoSpaceDN/>
        <w:adjustRightInd/>
        <w:spacing w:after="200" w:line="276" w:lineRule="auto"/>
        <w:ind w:left="720"/>
        <w:contextualSpacing/>
        <w:jc w:val="both"/>
        <w:textAlignment w:val="auto"/>
        <w:rPr>
          <w:rFonts w:eastAsia="Calibri"/>
          <w:szCs w:val="24"/>
          <w:lang w:val="en-US" w:eastAsia="en-US"/>
        </w:rPr>
      </w:pPr>
    </w:p>
    <w:p w14:paraId="433BB82D" w14:textId="77777777" w:rsidR="00D20078" w:rsidRPr="00AB20AA" w:rsidRDefault="00D20078" w:rsidP="00D20078">
      <w:pPr>
        <w:ind w:firstLine="360"/>
        <w:jc w:val="both"/>
        <w:rPr>
          <w:szCs w:val="24"/>
          <w:lang w:eastAsia="en-US"/>
        </w:rPr>
      </w:pPr>
      <w:r w:rsidRPr="00AB20AA">
        <w:rPr>
          <w:szCs w:val="24"/>
          <w:lang w:eastAsia="en-US"/>
        </w:rPr>
        <w:t xml:space="preserve">Teritorijā, kas noteikta kā </w:t>
      </w:r>
      <w:r w:rsidRPr="00AB20AA">
        <w:rPr>
          <w:b/>
          <w:bCs/>
          <w:szCs w:val="24"/>
          <w:lang w:eastAsia="en-US"/>
        </w:rPr>
        <w:t>teritorija ar īpašiem noteikumiem TIN118</w:t>
      </w:r>
      <w:r w:rsidRPr="00AB20AA">
        <w:rPr>
          <w:szCs w:val="24"/>
          <w:lang w:eastAsia="en-US"/>
        </w:rPr>
        <w:t>, primāri jānodrošina centralizētās kanalizācijas sistēmas ierīkošana, ierīkojot nepieciešamos tīklus un būves, kā arī jāierīko centralizētā ūdensapgādes sistēma.</w:t>
      </w:r>
    </w:p>
    <w:p w14:paraId="65156326" w14:textId="77777777" w:rsidR="00D20078" w:rsidRPr="00AB20AA" w:rsidRDefault="00D20078" w:rsidP="00D20078">
      <w:pPr>
        <w:ind w:firstLine="360"/>
        <w:jc w:val="both"/>
        <w:rPr>
          <w:szCs w:val="24"/>
          <w:lang w:eastAsia="en-US"/>
        </w:rPr>
      </w:pPr>
      <w:r w:rsidRPr="00AB20AA">
        <w:rPr>
          <w:szCs w:val="24"/>
          <w:lang w:eastAsia="en-US"/>
        </w:rPr>
        <w:t>Teritorijā, kurā ir ierīkota centralizētā ūdensapgādes un/vai kanalizācijas sistēma, visiem objektiem ir jānodrošina pieslēgumi pie centralizētās sistēmas.</w:t>
      </w:r>
    </w:p>
    <w:p w14:paraId="0089899E" w14:textId="77777777" w:rsidR="00D20078" w:rsidRPr="00AB20AA" w:rsidRDefault="00D20078" w:rsidP="00D20078">
      <w:pPr>
        <w:ind w:firstLine="360"/>
        <w:jc w:val="both"/>
        <w:rPr>
          <w:szCs w:val="24"/>
          <w:lang w:eastAsia="en-US"/>
        </w:rPr>
      </w:pPr>
      <w:r w:rsidRPr="00AB20AA">
        <w:rPr>
          <w:szCs w:val="24"/>
          <w:lang w:eastAsia="en-US"/>
        </w:rPr>
        <w:t>Kārtību, kādā ūdensapgādes un kanalizācijas tīkli un būves tiek pievienotas centralizētajai ūdensapgādes sistēmai un centralizētajai kanalizācijas sistēmai, nosaka Ūdenssaimniecības pakalpojumu likums, saistītie Ministru kabineta noteikumi, Jūrmalas domes lēmumi un saistošie noteikumi.</w:t>
      </w:r>
    </w:p>
    <w:p w14:paraId="37711996" w14:textId="77777777" w:rsidR="00D20078" w:rsidRPr="00AB20AA" w:rsidRDefault="00D20078" w:rsidP="00D20078">
      <w:pPr>
        <w:ind w:firstLine="360"/>
        <w:jc w:val="both"/>
        <w:rPr>
          <w:szCs w:val="24"/>
          <w:lang w:eastAsia="en-US"/>
        </w:rPr>
      </w:pPr>
    </w:p>
    <w:p w14:paraId="08EF6943" w14:textId="77777777" w:rsidR="00D20078" w:rsidRPr="00AB20AA" w:rsidRDefault="00D20078" w:rsidP="00D20078">
      <w:pPr>
        <w:ind w:firstLine="360"/>
        <w:jc w:val="both"/>
        <w:rPr>
          <w:szCs w:val="24"/>
        </w:rPr>
      </w:pPr>
      <w:r w:rsidRPr="00AB20AA">
        <w:rPr>
          <w:b/>
          <w:bCs/>
          <w:szCs w:val="24"/>
        </w:rPr>
        <w:t>Jauktas kūrorta teritorijas (TIN13)</w:t>
      </w:r>
      <w:r w:rsidRPr="00AB20AA">
        <w:rPr>
          <w:szCs w:val="24"/>
        </w:rPr>
        <w:t xml:space="preserve"> apbūvē, ievērojot šādas prasības attiecībā uz funkciju (izmantošanas veidu) procentuālo dalījumu zemes vienības ietvaros:</w:t>
      </w:r>
    </w:p>
    <w:p w14:paraId="63A5DF24" w14:textId="77777777" w:rsidR="00D20078" w:rsidRPr="00AB20AA" w:rsidRDefault="00D20078" w:rsidP="00D20078">
      <w:pPr>
        <w:numPr>
          <w:ilvl w:val="0"/>
          <w:numId w:val="15"/>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minimālais kūrorta pakalpojumu funkcijas (stāvu kopplatības) īpatsvars 51%;</w:t>
      </w:r>
    </w:p>
    <w:p w14:paraId="6D6E63EF" w14:textId="77777777" w:rsidR="00D20078" w:rsidRPr="00AB20AA" w:rsidRDefault="00D20078" w:rsidP="00D20078">
      <w:pPr>
        <w:numPr>
          <w:ilvl w:val="0"/>
          <w:numId w:val="15"/>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maksimālais dzīvojamās, sabiedrisko un darījumu funkciju (stāvu kopplatības) kopējais īpatsvars ir 49%;</w:t>
      </w:r>
    </w:p>
    <w:p w14:paraId="3EFCAB54" w14:textId="77777777" w:rsidR="00D20078" w:rsidRDefault="00D20078" w:rsidP="00D20078">
      <w:pPr>
        <w:numPr>
          <w:ilvl w:val="0"/>
          <w:numId w:val="15"/>
        </w:numPr>
        <w:overflowPunct/>
        <w:autoSpaceDE/>
        <w:autoSpaceDN/>
        <w:adjustRightInd/>
        <w:spacing w:after="200" w:line="276" w:lineRule="auto"/>
        <w:contextualSpacing/>
        <w:jc w:val="both"/>
        <w:textAlignment w:val="auto"/>
        <w:rPr>
          <w:rFonts w:eastAsia="Calibri"/>
          <w:szCs w:val="24"/>
          <w:lang w:val="en-US" w:eastAsia="en-US"/>
        </w:rPr>
      </w:pPr>
      <w:r w:rsidRPr="00AB20AA">
        <w:rPr>
          <w:rFonts w:eastAsia="Calibri"/>
          <w:szCs w:val="24"/>
          <w:lang w:val="en-US" w:eastAsia="en-US"/>
        </w:rPr>
        <w:t>ja teritoriju attīsta vairākās kārtās, pirmajā kārtā būvē kūrorta objektus.</w:t>
      </w:r>
    </w:p>
    <w:p w14:paraId="51767EEF" w14:textId="77777777" w:rsidR="00443999" w:rsidRPr="00AB20AA" w:rsidRDefault="00443999" w:rsidP="00443999">
      <w:pPr>
        <w:overflowPunct/>
        <w:autoSpaceDE/>
        <w:autoSpaceDN/>
        <w:adjustRightInd/>
        <w:spacing w:after="200" w:line="276" w:lineRule="auto"/>
        <w:ind w:left="720"/>
        <w:contextualSpacing/>
        <w:jc w:val="both"/>
        <w:textAlignment w:val="auto"/>
        <w:rPr>
          <w:rFonts w:eastAsia="Calibri"/>
          <w:szCs w:val="24"/>
          <w:lang w:val="en-US" w:eastAsia="en-US"/>
        </w:rPr>
      </w:pPr>
    </w:p>
    <w:p w14:paraId="7E4597BE" w14:textId="77777777" w:rsidR="00D20078" w:rsidRPr="00AB20AA" w:rsidRDefault="00D20078" w:rsidP="00D20078">
      <w:pPr>
        <w:jc w:val="both"/>
        <w:rPr>
          <w:szCs w:val="24"/>
          <w:u w:val="single"/>
          <w:lang w:eastAsia="en-US"/>
        </w:rPr>
      </w:pPr>
      <w:r w:rsidRPr="00AB20AA">
        <w:rPr>
          <w:szCs w:val="24"/>
          <w:u w:val="single"/>
          <w:lang w:eastAsia="en-US"/>
        </w:rPr>
        <w:t>Zemes vienības a</w:t>
      </w:r>
      <w:r w:rsidRPr="00AB20AA">
        <w:rPr>
          <w:bCs/>
          <w:szCs w:val="24"/>
          <w:u w:val="single"/>
          <w:lang w:eastAsia="en-US"/>
        </w:rPr>
        <w:t xml:space="preserve">pgrūtinājumi, </w:t>
      </w:r>
      <w:r w:rsidRPr="00AB20AA">
        <w:rPr>
          <w:bCs/>
          <w:szCs w:val="24"/>
          <w:u w:val="single"/>
        </w:rPr>
        <w:t>noteikti saskaņā ar Aizsargjoslu likumu:</w:t>
      </w:r>
    </w:p>
    <w:p w14:paraId="4EDB593F" w14:textId="77777777" w:rsidR="00D20078" w:rsidRPr="00AB20AA" w:rsidRDefault="00D20078" w:rsidP="00D20078">
      <w:pPr>
        <w:numPr>
          <w:ilvl w:val="0"/>
          <w:numId w:val="13"/>
        </w:numPr>
        <w:overflowPunct/>
        <w:autoSpaceDE/>
        <w:autoSpaceDN/>
        <w:adjustRightInd/>
        <w:spacing w:after="200" w:line="276" w:lineRule="auto"/>
        <w:ind w:left="697" w:hanging="357"/>
        <w:contextualSpacing/>
        <w:jc w:val="both"/>
        <w:textAlignment w:val="auto"/>
        <w:rPr>
          <w:rFonts w:eastAsia="Calibri"/>
          <w:szCs w:val="24"/>
          <w:lang w:val="en-US" w:eastAsia="en-US"/>
        </w:rPr>
      </w:pPr>
      <w:r w:rsidRPr="00AB20AA">
        <w:rPr>
          <w:rFonts w:eastAsia="Calibri"/>
          <w:szCs w:val="24"/>
          <w:lang w:val="en-US" w:eastAsia="en-US"/>
        </w:rPr>
        <w:t>zemes vienība atrodas Baltijas jūras un Rīgas jūras līča krasta kāpu vides un dabas resursu aizsardzības aizsargjoslas teritorijā;</w:t>
      </w:r>
    </w:p>
    <w:p w14:paraId="4FFB9E3A" w14:textId="77777777" w:rsidR="00D20078" w:rsidRPr="00AB20AA" w:rsidRDefault="00D20078" w:rsidP="00D20078">
      <w:pPr>
        <w:numPr>
          <w:ilvl w:val="0"/>
          <w:numId w:val="13"/>
        </w:numPr>
        <w:overflowPunct/>
        <w:autoSpaceDE/>
        <w:autoSpaceDN/>
        <w:adjustRightInd/>
        <w:spacing w:after="200" w:line="276" w:lineRule="auto"/>
        <w:ind w:left="697" w:hanging="357"/>
        <w:contextualSpacing/>
        <w:jc w:val="both"/>
        <w:textAlignment w:val="auto"/>
        <w:rPr>
          <w:rFonts w:eastAsia="Calibri"/>
          <w:szCs w:val="24"/>
          <w:u w:val="single"/>
          <w:lang w:val="en-US" w:eastAsia="en-US"/>
        </w:rPr>
      </w:pPr>
      <w:r w:rsidRPr="00AB20AA">
        <w:rPr>
          <w:rFonts w:eastAsia="Calibri"/>
          <w:iCs/>
          <w:szCs w:val="24"/>
          <w:lang w:val="en-US" w:eastAsia="en-US"/>
        </w:rPr>
        <w:t>zemes vienība atrodas Baltijas jūras un Rīgas jūras līča ierobežotas saimnieciskās darbības joslas teritorijā;</w:t>
      </w:r>
    </w:p>
    <w:p w14:paraId="02F1F6D5" w14:textId="77777777" w:rsidR="00D20078" w:rsidRPr="00AB20AA" w:rsidRDefault="00D20078" w:rsidP="00D20078">
      <w:pPr>
        <w:numPr>
          <w:ilvl w:val="0"/>
          <w:numId w:val="13"/>
        </w:numPr>
        <w:overflowPunct/>
        <w:autoSpaceDE/>
        <w:autoSpaceDN/>
        <w:adjustRightInd/>
        <w:spacing w:after="200" w:line="276" w:lineRule="auto"/>
        <w:ind w:left="697" w:hanging="357"/>
        <w:contextualSpacing/>
        <w:jc w:val="both"/>
        <w:textAlignment w:val="auto"/>
        <w:rPr>
          <w:rFonts w:eastAsia="Calibri"/>
          <w:szCs w:val="24"/>
          <w:lang w:val="en-US" w:eastAsia="en-US"/>
        </w:rPr>
      </w:pPr>
      <w:r w:rsidRPr="00AB20AA">
        <w:rPr>
          <w:rFonts w:eastAsia="Calibri"/>
          <w:szCs w:val="24"/>
          <w:lang w:val="en-US" w:eastAsia="en-US"/>
        </w:rPr>
        <w:t>zemes vienība atrodas vietējās nozīmes pilsētbūvniecības pieminekļa teritorijā.</w:t>
      </w:r>
    </w:p>
    <w:p w14:paraId="1797021A" w14:textId="77777777" w:rsidR="00D20078" w:rsidRPr="00E147DE" w:rsidRDefault="00D20078" w:rsidP="00D20078">
      <w:pPr>
        <w:numPr>
          <w:ilvl w:val="0"/>
          <w:numId w:val="13"/>
        </w:numPr>
        <w:overflowPunct/>
        <w:autoSpaceDE/>
        <w:autoSpaceDN/>
        <w:adjustRightInd/>
        <w:spacing w:after="200" w:line="276" w:lineRule="auto"/>
        <w:ind w:left="697" w:hanging="357"/>
        <w:contextualSpacing/>
        <w:jc w:val="both"/>
        <w:textAlignment w:val="auto"/>
        <w:rPr>
          <w:rFonts w:eastAsia="Calibri"/>
          <w:szCs w:val="24"/>
          <w:u w:val="single"/>
          <w:lang w:val="en-US" w:eastAsia="en-US"/>
        </w:rPr>
      </w:pPr>
      <w:r w:rsidRPr="00AB20AA">
        <w:rPr>
          <w:rFonts w:eastAsia="Calibri"/>
          <w:iCs/>
          <w:szCs w:val="24"/>
          <w:lang w:val="en-US" w:eastAsia="en-US"/>
        </w:rPr>
        <w:t>ievērot ielas sarkanās līnijas.</w:t>
      </w:r>
    </w:p>
    <w:p w14:paraId="68B2D3C9" w14:textId="77777777" w:rsidR="00E147DE" w:rsidRPr="00AB20AA" w:rsidRDefault="00E147DE" w:rsidP="00E147DE">
      <w:pPr>
        <w:overflowPunct/>
        <w:autoSpaceDE/>
        <w:autoSpaceDN/>
        <w:adjustRightInd/>
        <w:spacing w:after="200" w:line="276" w:lineRule="auto"/>
        <w:ind w:left="697"/>
        <w:contextualSpacing/>
        <w:jc w:val="both"/>
        <w:textAlignment w:val="auto"/>
        <w:rPr>
          <w:rFonts w:eastAsia="Calibri"/>
          <w:szCs w:val="24"/>
          <w:u w:val="single"/>
          <w:lang w:val="en-US" w:eastAsia="en-US"/>
        </w:rPr>
      </w:pPr>
    </w:p>
    <w:p w14:paraId="1738662F" w14:textId="77777777" w:rsidR="00D20078" w:rsidRPr="00AB20AA" w:rsidRDefault="00D20078" w:rsidP="00D20078">
      <w:pPr>
        <w:ind w:firstLine="340"/>
        <w:jc w:val="both"/>
        <w:rPr>
          <w:iCs/>
          <w:szCs w:val="24"/>
        </w:rPr>
      </w:pPr>
      <w:r w:rsidRPr="00AB20AA">
        <w:rPr>
          <w:i/>
          <w:szCs w:val="24"/>
        </w:rPr>
        <w:t>Sarkanā līnija</w:t>
      </w:r>
      <w:r w:rsidRPr="00AB20AA">
        <w:rPr>
          <w:iCs/>
          <w:szCs w:val="24"/>
        </w:rPr>
        <w:t xml:space="preserve"> - līnija, kas norobežo ceļa, ielas vai piebrauktuves (arī inženierkomunikāciju koridoru) izbūvei nepieciešamo teritoriju, kurā nekustamā īpašuma lietošanas tiesības aprobežotas saskaņā ar normatīvajiem aktiem, no apbūvējamās vai citādā veidā izmantojamās teritorijas un ko normatīvajos aktos noteiktajā kārtībā nosaka vietējā pašvaldība.</w:t>
      </w:r>
    </w:p>
    <w:p w14:paraId="69B4CF2C" w14:textId="77777777" w:rsidR="00D20078" w:rsidRPr="00AB20AA" w:rsidRDefault="00D20078" w:rsidP="00D20078">
      <w:pPr>
        <w:ind w:firstLine="340"/>
        <w:jc w:val="both"/>
        <w:rPr>
          <w:iCs/>
          <w:szCs w:val="24"/>
        </w:rPr>
      </w:pPr>
    </w:p>
    <w:p w14:paraId="587CAA5E" w14:textId="77777777" w:rsidR="00D20078" w:rsidRPr="00AB20AA" w:rsidRDefault="00D20078" w:rsidP="00D20078">
      <w:pPr>
        <w:ind w:firstLine="340"/>
        <w:jc w:val="both"/>
        <w:rPr>
          <w:szCs w:val="24"/>
        </w:rPr>
      </w:pPr>
      <w:r w:rsidRPr="00AB20AA">
        <w:rPr>
          <w:szCs w:val="24"/>
        </w:rPr>
        <w:t xml:space="preserve">Zemes vienība atrodas vietējās nozīmes pilsētbūvniecības pieminekļa </w:t>
      </w:r>
      <w:r w:rsidRPr="00F076BA">
        <w:rPr>
          <w:i/>
          <w:iCs/>
          <w:szCs w:val="24"/>
        </w:rPr>
        <w:t>Vaivaru – Asaru – Mellužu – Pumpuru – Jaundubultu</w:t>
      </w:r>
      <w:r w:rsidRPr="00AB20AA">
        <w:rPr>
          <w:szCs w:val="24"/>
        </w:rPr>
        <w:t xml:space="preserve"> vasarnīcu rajona teritorijā (valsts aizsardzības Nr. 692). Atbilstoši Jūrmalas valstspilsētas Teritorijas plāna vēsturiskās apbūves novērtējumam, nekustamajā īpašumā esošās dzīvojamās ēkas ar kadastra apzīmējumiem 1300 017 1401 001,  1300 017 1401 002, 1300 017 1401 003 ir klasificētas kā vēsturiskā fona apbūvi veidojošas būves. Pagrabs Nr. 1300 017 1401 005 ir nevērtēta būve vai palīgbūve bez kultūrvēsturiskās vērtības.</w:t>
      </w:r>
    </w:p>
    <w:p w14:paraId="41A0BAC1" w14:textId="77777777" w:rsidR="00D20078" w:rsidRPr="00AB20AA" w:rsidRDefault="00D20078" w:rsidP="00D20078">
      <w:pPr>
        <w:overflowPunct/>
        <w:autoSpaceDE/>
        <w:autoSpaceDN/>
        <w:adjustRightInd/>
        <w:jc w:val="both"/>
        <w:textAlignment w:val="auto"/>
        <w:rPr>
          <w:iCs/>
          <w:szCs w:val="24"/>
          <w:lang w:eastAsia="en-US"/>
        </w:rPr>
      </w:pPr>
    </w:p>
    <w:p w14:paraId="4E295973" w14:textId="77777777" w:rsidR="00D20078" w:rsidRPr="00AB20AA" w:rsidRDefault="00D20078" w:rsidP="00D20078">
      <w:pPr>
        <w:overflowPunct/>
        <w:autoSpaceDE/>
        <w:autoSpaceDN/>
        <w:adjustRightInd/>
        <w:ind w:firstLine="357"/>
        <w:jc w:val="both"/>
        <w:textAlignment w:val="auto"/>
        <w:rPr>
          <w:iCs/>
          <w:szCs w:val="24"/>
          <w:lang w:eastAsia="en-US"/>
        </w:rPr>
      </w:pPr>
      <w:r w:rsidRPr="00AB20AA">
        <w:rPr>
          <w:iCs/>
          <w:szCs w:val="24"/>
          <w:lang w:eastAsia="en-US"/>
        </w:rPr>
        <w:t xml:space="preserve">Ņemot vērā to, ka zemes vienība atrodas </w:t>
      </w:r>
      <w:r w:rsidRPr="00AB20AA">
        <w:rPr>
          <w:b/>
          <w:bCs/>
          <w:iCs/>
          <w:szCs w:val="24"/>
          <w:lang w:eastAsia="en-US"/>
        </w:rPr>
        <w:t>vietējās nozīmes pilsētbūvniecības pieminekļa teritorijā</w:t>
      </w:r>
      <w:r w:rsidRPr="00AB20AA">
        <w:rPr>
          <w:iCs/>
          <w:szCs w:val="24"/>
          <w:lang w:eastAsia="en-US"/>
        </w:rPr>
        <w:t xml:space="preserve">, nepieciešams ievērot Jūrmalas valstspilsētas teritorijas plānojuma teritorijas izmantošanas un apbūves noteikumu </w:t>
      </w:r>
      <w:r w:rsidRPr="00AB20AA">
        <w:rPr>
          <w:b/>
          <w:bCs/>
          <w:iCs/>
          <w:szCs w:val="24"/>
          <w:lang w:eastAsia="en-US"/>
        </w:rPr>
        <w:t>7.1.2. nodaļas „Pilsētbūvniecības pieminekļi un to aizsargjoslas” prasības:</w:t>
      </w:r>
    </w:p>
    <w:p w14:paraId="23597ABA" w14:textId="77777777" w:rsidR="00D20078" w:rsidRPr="00AB20AA" w:rsidRDefault="00D20078" w:rsidP="00D20078">
      <w:pPr>
        <w:overflowPunct/>
        <w:autoSpaceDE/>
        <w:autoSpaceDN/>
        <w:adjustRightInd/>
        <w:ind w:firstLine="357"/>
        <w:jc w:val="both"/>
        <w:textAlignment w:val="auto"/>
        <w:rPr>
          <w:iCs/>
          <w:szCs w:val="24"/>
          <w:lang w:eastAsia="en-US"/>
        </w:rPr>
      </w:pPr>
      <w:r w:rsidRPr="00AB20AA">
        <w:rPr>
          <w:iCs/>
          <w:szCs w:val="24"/>
          <w:lang w:eastAsia="en-US"/>
        </w:rPr>
        <w:t>Lai saglabātu vēsturisko teritorijas raksturu, jaunbūvējamo un pārbūvējamu ēku būvapjomu nosaka atbilstoši šādām prasībām:</w:t>
      </w:r>
    </w:p>
    <w:p w14:paraId="3AC60544" w14:textId="77777777" w:rsidR="00D20078" w:rsidRPr="00AB20AA" w:rsidRDefault="00D20078" w:rsidP="00D20078">
      <w:pPr>
        <w:numPr>
          <w:ilvl w:val="0"/>
          <w:numId w:val="13"/>
        </w:numPr>
        <w:overflowPunct/>
        <w:autoSpaceDE/>
        <w:autoSpaceDN/>
        <w:adjustRightInd/>
        <w:spacing w:after="200" w:line="276" w:lineRule="auto"/>
        <w:ind w:left="709" w:hanging="283"/>
        <w:contextualSpacing/>
        <w:jc w:val="both"/>
        <w:textAlignment w:val="auto"/>
        <w:rPr>
          <w:rFonts w:eastAsia="Calibri"/>
          <w:iCs/>
          <w:szCs w:val="24"/>
          <w:lang w:val="en-US" w:eastAsia="en-US"/>
        </w:rPr>
      </w:pPr>
      <w:r w:rsidRPr="00AB20AA">
        <w:rPr>
          <w:rFonts w:eastAsia="Calibri"/>
          <w:iCs/>
          <w:szCs w:val="24"/>
          <w:lang w:val="en-US" w:eastAsia="en-US"/>
        </w:rPr>
        <w:t>ēkas maksimālo būvapjomu nosaka atbilstoši vidējam ēku būvapjomam apkārtnē (aprēķina teritorijā) un ēkas būvapjomu aprēķina pa virszemes būves vai tās daļas ārējo kontūru (virsmu);</w:t>
      </w:r>
    </w:p>
    <w:p w14:paraId="59C4D76B" w14:textId="77777777" w:rsidR="00D20078" w:rsidRPr="00AB20AA" w:rsidRDefault="00D20078" w:rsidP="00D20078">
      <w:pPr>
        <w:numPr>
          <w:ilvl w:val="0"/>
          <w:numId w:val="13"/>
        </w:numPr>
        <w:overflowPunct/>
        <w:autoSpaceDE/>
        <w:autoSpaceDN/>
        <w:adjustRightInd/>
        <w:spacing w:after="200" w:line="276" w:lineRule="auto"/>
        <w:ind w:left="709" w:hanging="283"/>
        <w:contextualSpacing/>
        <w:jc w:val="both"/>
        <w:textAlignment w:val="auto"/>
        <w:rPr>
          <w:rFonts w:eastAsia="Calibri"/>
          <w:iCs/>
          <w:szCs w:val="24"/>
          <w:lang w:val="en-US" w:eastAsia="en-US"/>
        </w:rPr>
      </w:pPr>
      <w:r w:rsidRPr="00AB20AA">
        <w:rPr>
          <w:rFonts w:eastAsia="Calibri"/>
          <w:iCs/>
          <w:szCs w:val="24"/>
          <w:lang w:val="en-US" w:eastAsia="en-US"/>
        </w:rPr>
        <w:t>ēkas būvapjoms nedrīkst pārsniegt aprēķināto vidējo ēkas būvapjomu vairāk kā par 20%. Aprēķinā neietver palīgēkas;</w:t>
      </w:r>
    </w:p>
    <w:p w14:paraId="6F891C47" w14:textId="77777777" w:rsidR="00D20078" w:rsidRPr="00AB20AA" w:rsidRDefault="00D20078" w:rsidP="00D20078">
      <w:pPr>
        <w:numPr>
          <w:ilvl w:val="0"/>
          <w:numId w:val="13"/>
        </w:numPr>
        <w:overflowPunct/>
        <w:autoSpaceDE/>
        <w:autoSpaceDN/>
        <w:adjustRightInd/>
        <w:spacing w:after="200" w:line="276" w:lineRule="auto"/>
        <w:ind w:left="709" w:hanging="283"/>
        <w:contextualSpacing/>
        <w:jc w:val="both"/>
        <w:textAlignment w:val="auto"/>
        <w:rPr>
          <w:rFonts w:eastAsia="Calibri"/>
          <w:iCs/>
          <w:szCs w:val="24"/>
          <w:lang w:val="en-US" w:eastAsia="en-US"/>
        </w:rPr>
      </w:pPr>
      <w:r w:rsidRPr="00AB20AA">
        <w:rPr>
          <w:rFonts w:eastAsia="Calibri"/>
          <w:iCs/>
          <w:szCs w:val="24"/>
          <w:lang w:val="en-US" w:eastAsia="en-US"/>
        </w:rPr>
        <w:lastRenderedPageBreak/>
        <w:t>aprēķina teritorija aptver apbūvētās zemes vienības, kas robežojas ar apbūvējamo zemes vienību (pie ielas – arī zemes vienības ielas pretējā pusē), vai piecas apbūvējamajai zemes vienībai tuvākās apbūvētās zemes vienības;</w:t>
      </w:r>
    </w:p>
    <w:p w14:paraId="7A0ECC05" w14:textId="77777777" w:rsidR="00D20078" w:rsidRDefault="00D20078" w:rsidP="00D20078">
      <w:pPr>
        <w:numPr>
          <w:ilvl w:val="0"/>
          <w:numId w:val="13"/>
        </w:numPr>
        <w:overflowPunct/>
        <w:autoSpaceDE/>
        <w:autoSpaceDN/>
        <w:adjustRightInd/>
        <w:spacing w:after="200" w:line="276" w:lineRule="auto"/>
        <w:ind w:left="709" w:hanging="283"/>
        <w:contextualSpacing/>
        <w:jc w:val="both"/>
        <w:textAlignment w:val="auto"/>
        <w:rPr>
          <w:rFonts w:eastAsia="Calibri"/>
          <w:iCs/>
          <w:szCs w:val="24"/>
          <w:lang w:val="en-US" w:eastAsia="en-US"/>
        </w:rPr>
      </w:pPr>
      <w:r w:rsidRPr="00AB20AA">
        <w:rPr>
          <w:rFonts w:eastAsia="Calibri"/>
          <w:iCs/>
          <w:szCs w:val="24"/>
          <w:lang w:val="en-US" w:eastAsia="en-US"/>
        </w:rPr>
        <w:t>ja tuvākajās apbūvētajās zemes vienībās ir ēkas ar ievērojami atšķirīgu apbūves laukumu, tad aprēķina teritoriju nosaka, ietverot kvartālu, kas robežojas ar tuvākajām B, C vai D kategorijas ielām; šādā gadījumā aprēķinā neietver ēkas ar netipiskiem apjomiem.</w:t>
      </w:r>
    </w:p>
    <w:p w14:paraId="418A2157" w14:textId="77777777" w:rsidR="00F24B3E" w:rsidRPr="00AB20AA" w:rsidRDefault="00F24B3E" w:rsidP="00F24B3E">
      <w:pPr>
        <w:overflowPunct/>
        <w:autoSpaceDE/>
        <w:autoSpaceDN/>
        <w:adjustRightInd/>
        <w:spacing w:after="200" w:line="276" w:lineRule="auto"/>
        <w:ind w:left="709"/>
        <w:contextualSpacing/>
        <w:jc w:val="both"/>
        <w:textAlignment w:val="auto"/>
        <w:rPr>
          <w:rFonts w:eastAsia="Calibri"/>
          <w:iCs/>
          <w:szCs w:val="24"/>
          <w:lang w:val="en-US" w:eastAsia="en-US"/>
        </w:rPr>
      </w:pPr>
    </w:p>
    <w:p w14:paraId="24B5E251" w14:textId="77777777" w:rsidR="00D20078" w:rsidRPr="00AB20AA" w:rsidRDefault="00D20078" w:rsidP="00D20078">
      <w:pPr>
        <w:overflowPunct/>
        <w:autoSpaceDE/>
        <w:autoSpaceDN/>
        <w:adjustRightInd/>
        <w:ind w:firstLine="357"/>
        <w:jc w:val="both"/>
        <w:textAlignment w:val="auto"/>
        <w:rPr>
          <w:szCs w:val="24"/>
        </w:rPr>
      </w:pPr>
      <w:r w:rsidRPr="00AB20AA">
        <w:rPr>
          <w:szCs w:val="24"/>
        </w:rPr>
        <w:t xml:space="preserve">Norādāms, ka saskaņā ar Dabas aizsardzības pārvaldes dabas datu pārvaldības sistēmas “OZOLS” datiem, daļā zemes vienības atrodas īpaši aizsargājamā biotopa </w:t>
      </w:r>
      <w:r w:rsidRPr="00AB20AA">
        <w:rPr>
          <w:i/>
          <w:iCs/>
          <w:szCs w:val="24"/>
        </w:rPr>
        <w:t>Mežainas piejūras kāpas</w:t>
      </w:r>
      <w:r w:rsidRPr="00AB20AA">
        <w:rPr>
          <w:szCs w:val="24"/>
        </w:rPr>
        <w:t xml:space="preserve"> (2180) platības.</w:t>
      </w:r>
    </w:p>
    <w:p w14:paraId="70B7F2B2" w14:textId="77777777" w:rsidR="00D20078" w:rsidRPr="00AB20AA" w:rsidRDefault="00D20078" w:rsidP="00D20078">
      <w:pPr>
        <w:overflowPunct/>
        <w:autoSpaceDE/>
        <w:autoSpaceDN/>
        <w:adjustRightInd/>
        <w:ind w:firstLine="357"/>
        <w:jc w:val="both"/>
        <w:textAlignment w:val="auto"/>
        <w:rPr>
          <w:szCs w:val="24"/>
        </w:rPr>
      </w:pPr>
      <w:r w:rsidRPr="00AB20AA">
        <w:rPr>
          <w:szCs w:val="24"/>
        </w:rPr>
        <w:t>Saskaņā ar Apbūves noteikumu 90. punktu - esošās apbūves paplašināšanu un jaunas apbūves izvietojumu krasta kāpu aizsargjoslā izvērtē un nosaka detālplānojumā, apbūves zonas izvietojot ārpus īpaši aizsargājamo biotopu teritorijām un teritorijām ar izteiktu dabisku reljefu.</w:t>
      </w:r>
    </w:p>
    <w:p w14:paraId="5BE69C7C" w14:textId="77777777" w:rsidR="00D20078" w:rsidRPr="00AB20AA" w:rsidRDefault="00D20078" w:rsidP="00D20078">
      <w:pPr>
        <w:overflowPunct/>
        <w:autoSpaceDE/>
        <w:autoSpaceDN/>
        <w:adjustRightInd/>
        <w:ind w:firstLine="357"/>
        <w:jc w:val="both"/>
        <w:textAlignment w:val="auto"/>
        <w:rPr>
          <w:szCs w:val="24"/>
        </w:rPr>
      </w:pPr>
      <w:r w:rsidRPr="00AB20AA">
        <w:rPr>
          <w:szCs w:val="24"/>
        </w:rPr>
        <w:t>Papildus šim nosacījumam, pilsētbūvniecības pieminekļu teritorijās un to aizsardzības zonās krasta kāpu aizsargjoslas teritorijā tiek saglabāta pilsētbūvniecības piemineklim un tā aizsardzības zonai raksturīgā dabas vide, īpašu vērību veltot kāpu un mežu joslai – neapbūvētai teritorijai ar kāpām raksturīgu reljefu, dabisko zemsedzi, veģetāciju, skujkokiem un citiem raksturīgiem ainavas elementiem, kuri veido Jūrmalas pilsētas kā unikālas Baltijas reģiona kūrorta vietas identitāti. Apbūves izvietošanai šādos gadījumos Jūrmalas Kultūrtelpas un vides dizaina centrs veic papildu izvērtēšanu un sniedz rekomendācijas šādas vietas attīstībai vai apbūves projektēšanai.</w:t>
      </w:r>
    </w:p>
    <w:p w14:paraId="390E2AC5" w14:textId="3311BA76" w:rsidR="00D20078" w:rsidRPr="00AB20AA" w:rsidRDefault="000A2570" w:rsidP="00D20078">
      <w:pPr>
        <w:overflowPunct/>
        <w:autoSpaceDE/>
        <w:autoSpaceDN/>
        <w:adjustRightInd/>
        <w:ind w:firstLine="357"/>
        <w:jc w:val="both"/>
        <w:textAlignment w:val="auto"/>
        <w:rPr>
          <w:szCs w:val="24"/>
        </w:rPr>
      </w:pPr>
      <w:r>
        <w:rPr>
          <w:szCs w:val="24"/>
        </w:rPr>
        <w:t>Pārvalde informē</w:t>
      </w:r>
      <w:r w:rsidR="00D20078" w:rsidRPr="00AB20AA">
        <w:rPr>
          <w:szCs w:val="24"/>
        </w:rPr>
        <w:t>, ka saskaņā ar Jūrmalas domes 2023. gada 30. marta lēmumu Nr. 127 “Par detālplānojuma grozījumu izstrādes uzsākšanu zemes vienībai Kāpu ielā 155/157, Jūrmalā” tika uzsākta Detālplānojuma grozījumu izstrāde.</w:t>
      </w:r>
    </w:p>
    <w:p w14:paraId="6F8BACB8" w14:textId="77777777" w:rsidR="00D20078" w:rsidRPr="00AB20AA" w:rsidRDefault="00D20078" w:rsidP="00D20078">
      <w:pPr>
        <w:overflowPunct/>
        <w:autoSpaceDE/>
        <w:autoSpaceDN/>
        <w:adjustRightInd/>
        <w:ind w:firstLine="357"/>
        <w:jc w:val="both"/>
        <w:textAlignment w:val="auto"/>
        <w:rPr>
          <w:szCs w:val="24"/>
        </w:rPr>
      </w:pPr>
    </w:p>
    <w:p w14:paraId="6D0D227D" w14:textId="782EB5E0" w:rsidR="00106A00" w:rsidRPr="00D20078" w:rsidRDefault="00D20078" w:rsidP="00D20078">
      <w:pPr>
        <w:overflowPunct/>
        <w:autoSpaceDE/>
        <w:autoSpaceDN/>
        <w:adjustRightInd/>
        <w:ind w:firstLine="357"/>
        <w:jc w:val="both"/>
        <w:textAlignment w:val="auto"/>
        <w:rPr>
          <w:b/>
          <w:bCs/>
          <w:szCs w:val="24"/>
        </w:rPr>
      </w:pPr>
      <w:r w:rsidRPr="00AB20AA">
        <w:rPr>
          <w:szCs w:val="24"/>
        </w:rPr>
        <w:t>Ņemot vērā iepriekš minēto, lai izvērtētu zemes vienības turpmāko attīstību, tostarp atļauto izmantošanu un apbūves iespējas, atbilstoši Jūrmalas valstspilsētas Teritorijas plānojuma nosacījumiem Publiskās apbūves teritorijā (P56),</w:t>
      </w:r>
      <w:r w:rsidRPr="00AB20AA">
        <w:rPr>
          <w:b/>
          <w:bCs/>
          <w:szCs w:val="24"/>
        </w:rPr>
        <w:t xml:space="preserve"> ir nepieciešama Detālplānojuma grozījumu izstrāde.</w:t>
      </w:r>
    </w:p>
    <w:p w14:paraId="2BF11564" w14:textId="77777777" w:rsidR="00106A00" w:rsidRDefault="00106A00" w:rsidP="00106A00">
      <w:pPr>
        <w:tabs>
          <w:tab w:val="left" w:pos="4536"/>
        </w:tabs>
        <w:rPr>
          <w:b/>
          <w:szCs w:val="24"/>
        </w:rPr>
      </w:pPr>
    </w:p>
    <w:p w14:paraId="7BC2A65B" w14:textId="6B2FF0D0" w:rsidR="006771A8" w:rsidRDefault="006771A8" w:rsidP="00C95F21">
      <w:pPr>
        <w:widowControl w:val="0"/>
        <w:tabs>
          <w:tab w:val="left" w:pos="4536"/>
        </w:tabs>
        <w:spacing w:line="480" w:lineRule="auto"/>
        <w:jc w:val="center"/>
        <w:rPr>
          <w:szCs w:val="24"/>
        </w:rPr>
      </w:pPr>
      <w:r>
        <w:rPr>
          <w:szCs w:val="24"/>
        </w:rPr>
        <w:t xml:space="preserve">Pilsētplānošanas </w:t>
      </w:r>
      <w:r w:rsidR="00CF5ED6">
        <w:rPr>
          <w:szCs w:val="24"/>
        </w:rPr>
        <w:t>pārvaldes</w:t>
      </w:r>
      <w:r>
        <w:rPr>
          <w:szCs w:val="24"/>
        </w:rPr>
        <w:t xml:space="preserve"> vadītāja</w:t>
      </w:r>
      <w:r w:rsidR="00CF5ED6">
        <w:rPr>
          <w:szCs w:val="24"/>
        </w:rPr>
        <w:t xml:space="preserve"> </w:t>
      </w:r>
      <w:r>
        <w:rPr>
          <w:szCs w:val="24"/>
        </w:rPr>
        <w:tab/>
      </w:r>
      <w:r w:rsidR="00106A00">
        <w:rPr>
          <w:szCs w:val="24"/>
        </w:rPr>
        <w:tab/>
        <w:t>(paraksts *)</w:t>
      </w:r>
      <w:r w:rsidR="00106A00">
        <w:rPr>
          <w:szCs w:val="24"/>
        </w:rPr>
        <w:tab/>
      </w:r>
      <w:r w:rsidR="00C95F21">
        <w:rPr>
          <w:szCs w:val="24"/>
        </w:rPr>
        <w:tab/>
      </w:r>
      <w:r>
        <w:rPr>
          <w:szCs w:val="24"/>
        </w:rPr>
        <w:tab/>
      </w:r>
      <w:r w:rsidR="00CD7210">
        <w:rPr>
          <w:szCs w:val="24"/>
        </w:rPr>
        <w:t>V.</w:t>
      </w:r>
      <w:r w:rsidR="000668BE">
        <w:rPr>
          <w:szCs w:val="24"/>
        </w:rPr>
        <w:t xml:space="preserve"> </w:t>
      </w:r>
      <w:r w:rsidR="00CD7210">
        <w:rPr>
          <w:szCs w:val="24"/>
        </w:rPr>
        <w:t>Zvejniece</w:t>
      </w:r>
    </w:p>
    <w:p w14:paraId="79D051A1" w14:textId="77777777" w:rsidR="00106A00" w:rsidRPr="0099678A" w:rsidRDefault="00106A00" w:rsidP="00C95F21">
      <w:pPr>
        <w:widowControl w:val="0"/>
        <w:spacing w:line="480" w:lineRule="auto"/>
        <w:jc w:val="center"/>
        <w:rPr>
          <w:b/>
          <w:szCs w:val="24"/>
        </w:rPr>
      </w:pPr>
      <w:r w:rsidRPr="0099678A">
        <w:rPr>
          <w:b/>
          <w:szCs w:val="24"/>
        </w:rPr>
        <w:t>*Dokuments parakstīts ar drošu elektronisko parakstu un satur laika zīmogu.</w:t>
      </w:r>
    </w:p>
    <w:p w14:paraId="3221BCE7" w14:textId="77777777" w:rsidR="005C62AE" w:rsidRDefault="005C62AE" w:rsidP="005C62AE">
      <w:pPr>
        <w:jc w:val="both"/>
        <w:rPr>
          <w:sz w:val="20"/>
        </w:rPr>
      </w:pPr>
    </w:p>
    <w:p w14:paraId="0B194C2B" w14:textId="77777777" w:rsidR="005C62AE" w:rsidRDefault="005C62AE" w:rsidP="005C62AE">
      <w:pPr>
        <w:jc w:val="both"/>
        <w:rPr>
          <w:sz w:val="20"/>
        </w:rPr>
      </w:pPr>
    </w:p>
    <w:p w14:paraId="3E0A38C7" w14:textId="5358A75C" w:rsidR="005C62AE" w:rsidRPr="00305868" w:rsidRDefault="005C62AE" w:rsidP="005C62AE">
      <w:pPr>
        <w:jc w:val="both"/>
        <w:rPr>
          <w:sz w:val="20"/>
        </w:rPr>
      </w:pPr>
      <w:r>
        <w:rPr>
          <w:sz w:val="20"/>
        </w:rPr>
        <w:t>Umbraško 26303418</w:t>
      </w:r>
    </w:p>
    <w:p w14:paraId="2930F0A7" w14:textId="77777777" w:rsidR="005C62AE" w:rsidRDefault="00000000" w:rsidP="005C62AE">
      <w:pPr>
        <w:jc w:val="both"/>
        <w:rPr>
          <w:szCs w:val="24"/>
        </w:rPr>
      </w:pPr>
      <w:hyperlink r:id="rId9" w:history="1">
        <w:r w:rsidR="005C62AE" w:rsidRPr="00121AAA">
          <w:rPr>
            <w:rStyle w:val="Hyperlink"/>
            <w:sz w:val="20"/>
          </w:rPr>
          <w:t>ineta.umbrasko@jurmala.lv</w:t>
        </w:r>
      </w:hyperlink>
    </w:p>
    <w:p w14:paraId="0AC98AA0" w14:textId="5F988918" w:rsidR="00245ABF" w:rsidRPr="004E2D56" w:rsidRDefault="00245ABF" w:rsidP="00106A00">
      <w:pPr>
        <w:jc w:val="both"/>
        <w:rPr>
          <w:sz w:val="20"/>
        </w:rPr>
      </w:pPr>
    </w:p>
    <w:sectPr w:rsidR="00245ABF" w:rsidRPr="004E2D56" w:rsidSect="00106A00">
      <w:headerReference w:type="default" r:id="rId10"/>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76F5" w14:textId="77777777" w:rsidR="00F16344" w:rsidRDefault="00F16344" w:rsidP="00F44DAE">
      <w:r>
        <w:separator/>
      </w:r>
    </w:p>
  </w:endnote>
  <w:endnote w:type="continuationSeparator" w:id="0">
    <w:p w14:paraId="4E01FB9C" w14:textId="77777777" w:rsidR="00F16344" w:rsidRDefault="00F16344" w:rsidP="00F4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915C" w14:textId="77777777" w:rsidR="00F16344" w:rsidRDefault="00F16344" w:rsidP="00F44DAE">
      <w:r>
        <w:separator/>
      </w:r>
    </w:p>
  </w:footnote>
  <w:footnote w:type="continuationSeparator" w:id="0">
    <w:p w14:paraId="0C5DEBD9" w14:textId="77777777" w:rsidR="00F16344" w:rsidRDefault="00F16344" w:rsidP="00F4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CF07" w14:textId="77777777" w:rsidR="00F44DAE" w:rsidRDefault="00F44DAE" w:rsidP="00F44D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B9E"/>
    <w:multiLevelType w:val="hybridMultilevel"/>
    <w:tmpl w:val="238400C6"/>
    <w:lvl w:ilvl="0" w:tplc="D814326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010C6907"/>
    <w:multiLevelType w:val="hybridMultilevel"/>
    <w:tmpl w:val="0396E800"/>
    <w:lvl w:ilvl="0" w:tplc="5A50389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2397B19"/>
    <w:multiLevelType w:val="hybridMultilevel"/>
    <w:tmpl w:val="D98C8C84"/>
    <w:lvl w:ilvl="0" w:tplc="7D00DE26">
      <w:start w:val="3"/>
      <w:numFmt w:val="bullet"/>
      <w:lvlText w:val="-"/>
      <w:lvlJc w:val="left"/>
      <w:pPr>
        <w:ind w:left="785" w:hanging="360"/>
      </w:pPr>
      <w:rPr>
        <w:rFonts w:ascii="Times New Roman" w:eastAsia="Calibri"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07736823"/>
    <w:multiLevelType w:val="hybridMultilevel"/>
    <w:tmpl w:val="C160FCE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DDC6947"/>
    <w:multiLevelType w:val="hybridMultilevel"/>
    <w:tmpl w:val="C58285FA"/>
    <w:lvl w:ilvl="0" w:tplc="E3BAF132">
      <w:start w:val="1"/>
      <w:numFmt w:val="decimal"/>
      <w:lvlText w:val="%1."/>
      <w:lvlJc w:val="left"/>
      <w:pPr>
        <w:tabs>
          <w:tab w:val="num" w:pos="1545"/>
        </w:tabs>
        <w:ind w:left="1545" w:hanging="360"/>
      </w:pPr>
      <w:rPr>
        <w:rFonts w:hint="default"/>
      </w:rPr>
    </w:lvl>
    <w:lvl w:ilvl="1" w:tplc="04260019" w:tentative="1">
      <w:start w:val="1"/>
      <w:numFmt w:val="lowerLetter"/>
      <w:lvlText w:val="%2."/>
      <w:lvlJc w:val="left"/>
      <w:pPr>
        <w:tabs>
          <w:tab w:val="num" w:pos="2265"/>
        </w:tabs>
        <w:ind w:left="2265" w:hanging="360"/>
      </w:pPr>
    </w:lvl>
    <w:lvl w:ilvl="2" w:tplc="0426001B" w:tentative="1">
      <w:start w:val="1"/>
      <w:numFmt w:val="lowerRoman"/>
      <w:lvlText w:val="%3."/>
      <w:lvlJc w:val="right"/>
      <w:pPr>
        <w:tabs>
          <w:tab w:val="num" w:pos="2985"/>
        </w:tabs>
        <w:ind w:left="2985" w:hanging="180"/>
      </w:pPr>
    </w:lvl>
    <w:lvl w:ilvl="3" w:tplc="0426000F" w:tentative="1">
      <w:start w:val="1"/>
      <w:numFmt w:val="decimal"/>
      <w:lvlText w:val="%4."/>
      <w:lvlJc w:val="left"/>
      <w:pPr>
        <w:tabs>
          <w:tab w:val="num" w:pos="3705"/>
        </w:tabs>
        <w:ind w:left="3705" w:hanging="360"/>
      </w:pPr>
    </w:lvl>
    <w:lvl w:ilvl="4" w:tplc="04260019" w:tentative="1">
      <w:start w:val="1"/>
      <w:numFmt w:val="lowerLetter"/>
      <w:lvlText w:val="%5."/>
      <w:lvlJc w:val="left"/>
      <w:pPr>
        <w:tabs>
          <w:tab w:val="num" w:pos="4425"/>
        </w:tabs>
        <w:ind w:left="4425" w:hanging="360"/>
      </w:pPr>
    </w:lvl>
    <w:lvl w:ilvl="5" w:tplc="0426001B" w:tentative="1">
      <w:start w:val="1"/>
      <w:numFmt w:val="lowerRoman"/>
      <w:lvlText w:val="%6."/>
      <w:lvlJc w:val="right"/>
      <w:pPr>
        <w:tabs>
          <w:tab w:val="num" w:pos="5145"/>
        </w:tabs>
        <w:ind w:left="5145" w:hanging="180"/>
      </w:pPr>
    </w:lvl>
    <w:lvl w:ilvl="6" w:tplc="0426000F" w:tentative="1">
      <w:start w:val="1"/>
      <w:numFmt w:val="decimal"/>
      <w:lvlText w:val="%7."/>
      <w:lvlJc w:val="left"/>
      <w:pPr>
        <w:tabs>
          <w:tab w:val="num" w:pos="5865"/>
        </w:tabs>
        <w:ind w:left="5865" w:hanging="360"/>
      </w:pPr>
    </w:lvl>
    <w:lvl w:ilvl="7" w:tplc="04260019" w:tentative="1">
      <w:start w:val="1"/>
      <w:numFmt w:val="lowerLetter"/>
      <w:lvlText w:val="%8."/>
      <w:lvlJc w:val="left"/>
      <w:pPr>
        <w:tabs>
          <w:tab w:val="num" w:pos="6585"/>
        </w:tabs>
        <w:ind w:left="6585" w:hanging="360"/>
      </w:pPr>
    </w:lvl>
    <w:lvl w:ilvl="8" w:tplc="0426001B" w:tentative="1">
      <w:start w:val="1"/>
      <w:numFmt w:val="lowerRoman"/>
      <w:lvlText w:val="%9."/>
      <w:lvlJc w:val="right"/>
      <w:pPr>
        <w:tabs>
          <w:tab w:val="num" w:pos="7305"/>
        </w:tabs>
        <w:ind w:left="7305" w:hanging="180"/>
      </w:pPr>
    </w:lvl>
  </w:abstractNum>
  <w:abstractNum w:abstractNumId="5" w15:restartNumberingAfterBreak="0">
    <w:nsid w:val="13137991"/>
    <w:multiLevelType w:val="hybridMultilevel"/>
    <w:tmpl w:val="E2044A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E57CD3"/>
    <w:multiLevelType w:val="hybridMultilevel"/>
    <w:tmpl w:val="D4204DF8"/>
    <w:lvl w:ilvl="0" w:tplc="3CEA4580">
      <w:start w:val="55"/>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E362E8C"/>
    <w:multiLevelType w:val="hybridMultilevel"/>
    <w:tmpl w:val="DA324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284FAC"/>
    <w:multiLevelType w:val="hybridMultilevel"/>
    <w:tmpl w:val="0B26313E"/>
    <w:lvl w:ilvl="0" w:tplc="4366F920">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35E67240"/>
    <w:multiLevelType w:val="hybridMultilevel"/>
    <w:tmpl w:val="82C43A88"/>
    <w:lvl w:ilvl="0" w:tplc="E1422CD4">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315B"/>
    <w:multiLevelType w:val="hybridMultilevel"/>
    <w:tmpl w:val="E0162E46"/>
    <w:lvl w:ilvl="0" w:tplc="85464C2E">
      <w:start w:val="1"/>
      <w:numFmt w:val="decimal"/>
      <w:lvlText w:val="%1."/>
      <w:lvlJc w:val="left"/>
      <w:pPr>
        <w:tabs>
          <w:tab w:val="num" w:pos="1080"/>
        </w:tabs>
        <w:ind w:left="1080" w:hanging="360"/>
      </w:pPr>
      <w:rPr>
        <w:rFonts w:hint="default"/>
      </w:rPr>
    </w:lvl>
    <w:lvl w:ilvl="1" w:tplc="02E43B68">
      <w:numFmt w:val="none"/>
      <w:lvlText w:val=""/>
      <w:lvlJc w:val="left"/>
      <w:pPr>
        <w:tabs>
          <w:tab w:val="num" w:pos="360"/>
        </w:tabs>
      </w:pPr>
    </w:lvl>
    <w:lvl w:ilvl="2" w:tplc="7F243078">
      <w:numFmt w:val="none"/>
      <w:lvlText w:val=""/>
      <w:lvlJc w:val="left"/>
      <w:pPr>
        <w:tabs>
          <w:tab w:val="num" w:pos="360"/>
        </w:tabs>
      </w:pPr>
    </w:lvl>
    <w:lvl w:ilvl="3" w:tplc="CD166D4A">
      <w:numFmt w:val="none"/>
      <w:lvlText w:val=""/>
      <w:lvlJc w:val="left"/>
      <w:pPr>
        <w:tabs>
          <w:tab w:val="num" w:pos="360"/>
        </w:tabs>
      </w:pPr>
    </w:lvl>
    <w:lvl w:ilvl="4" w:tplc="1ED40474">
      <w:numFmt w:val="none"/>
      <w:lvlText w:val=""/>
      <w:lvlJc w:val="left"/>
      <w:pPr>
        <w:tabs>
          <w:tab w:val="num" w:pos="360"/>
        </w:tabs>
      </w:pPr>
    </w:lvl>
    <w:lvl w:ilvl="5" w:tplc="13FE54A0">
      <w:numFmt w:val="none"/>
      <w:lvlText w:val=""/>
      <w:lvlJc w:val="left"/>
      <w:pPr>
        <w:tabs>
          <w:tab w:val="num" w:pos="360"/>
        </w:tabs>
      </w:pPr>
    </w:lvl>
    <w:lvl w:ilvl="6" w:tplc="FA9CC646">
      <w:numFmt w:val="none"/>
      <w:lvlText w:val=""/>
      <w:lvlJc w:val="left"/>
      <w:pPr>
        <w:tabs>
          <w:tab w:val="num" w:pos="360"/>
        </w:tabs>
      </w:pPr>
    </w:lvl>
    <w:lvl w:ilvl="7" w:tplc="0D920C3E">
      <w:numFmt w:val="none"/>
      <w:lvlText w:val=""/>
      <w:lvlJc w:val="left"/>
      <w:pPr>
        <w:tabs>
          <w:tab w:val="num" w:pos="360"/>
        </w:tabs>
      </w:pPr>
    </w:lvl>
    <w:lvl w:ilvl="8" w:tplc="00CE2F2C">
      <w:numFmt w:val="none"/>
      <w:lvlText w:val=""/>
      <w:lvlJc w:val="left"/>
      <w:pPr>
        <w:tabs>
          <w:tab w:val="num" w:pos="360"/>
        </w:tabs>
      </w:pPr>
    </w:lvl>
  </w:abstractNum>
  <w:abstractNum w:abstractNumId="11" w15:restartNumberingAfterBreak="0">
    <w:nsid w:val="3D135102"/>
    <w:multiLevelType w:val="hybridMultilevel"/>
    <w:tmpl w:val="E4DAFB5E"/>
    <w:lvl w:ilvl="0" w:tplc="699ABADE">
      <w:start w:val="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1EA45C5"/>
    <w:multiLevelType w:val="hybridMultilevel"/>
    <w:tmpl w:val="D9C05D30"/>
    <w:lvl w:ilvl="0" w:tplc="06ECDA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CF4E12"/>
    <w:multiLevelType w:val="hybridMultilevel"/>
    <w:tmpl w:val="EE02738C"/>
    <w:lvl w:ilvl="0" w:tplc="03B0EF1E">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4" w15:restartNumberingAfterBreak="0">
    <w:nsid w:val="7001342B"/>
    <w:multiLevelType w:val="hybridMultilevel"/>
    <w:tmpl w:val="354ACC96"/>
    <w:lvl w:ilvl="0" w:tplc="7D00DE26">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935835"/>
    <w:multiLevelType w:val="hybridMultilevel"/>
    <w:tmpl w:val="4DD68CB8"/>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num w:numId="1" w16cid:durableId="1450930368">
    <w:abstractNumId w:val="15"/>
  </w:num>
  <w:num w:numId="2" w16cid:durableId="1377654702">
    <w:abstractNumId w:val="0"/>
  </w:num>
  <w:num w:numId="3" w16cid:durableId="1857110601">
    <w:abstractNumId w:val="9"/>
  </w:num>
  <w:num w:numId="4" w16cid:durableId="1140265140">
    <w:abstractNumId w:val="10"/>
  </w:num>
  <w:num w:numId="5" w16cid:durableId="1990398206">
    <w:abstractNumId w:val="4"/>
  </w:num>
  <w:num w:numId="6" w16cid:durableId="15226239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8195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3776265">
    <w:abstractNumId w:val="1"/>
  </w:num>
  <w:num w:numId="9" w16cid:durableId="1091972353">
    <w:abstractNumId w:val="3"/>
  </w:num>
  <w:num w:numId="10" w16cid:durableId="1254633477">
    <w:abstractNumId w:val="7"/>
  </w:num>
  <w:num w:numId="11" w16cid:durableId="342904553">
    <w:abstractNumId w:val="5"/>
  </w:num>
  <w:num w:numId="12" w16cid:durableId="1428191139">
    <w:abstractNumId w:val="6"/>
  </w:num>
  <w:num w:numId="13" w16cid:durableId="1815833458">
    <w:abstractNumId w:val="11"/>
  </w:num>
  <w:num w:numId="14" w16cid:durableId="476457520">
    <w:abstractNumId w:val="2"/>
  </w:num>
  <w:num w:numId="15" w16cid:durableId="904727094">
    <w:abstractNumId w:val="14"/>
  </w:num>
  <w:num w:numId="16" w16cid:durableId="612446711">
    <w:abstractNumId w:val="13"/>
  </w:num>
  <w:num w:numId="17" w16cid:durableId="2114932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DE"/>
    <w:rsid w:val="00006D0E"/>
    <w:rsid w:val="00010A22"/>
    <w:rsid w:val="00041425"/>
    <w:rsid w:val="000668BE"/>
    <w:rsid w:val="000A2570"/>
    <w:rsid w:val="000B605F"/>
    <w:rsid w:val="000B7752"/>
    <w:rsid w:val="000F77F1"/>
    <w:rsid w:val="001001A5"/>
    <w:rsid w:val="001018CC"/>
    <w:rsid w:val="00101B0C"/>
    <w:rsid w:val="00104231"/>
    <w:rsid w:val="00106A00"/>
    <w:rsid w:val="00114C73"/>
    <w:rsid w:val="00137A50"/>
    <w:rsid w:val="001533EF"/>
    <w:rsid w:val="00162C81"/>
    <w:rsid w:val="001746DB"/>
    <w:rsid w:val="00174E5E"/>
    <w:rsid w:val="0017685A"/>
    <w:rsid w:val="001862A9"/>
    <w:rsid w:val="001A1F8C"/>
    <w:rsid w:val="001A7259"/>
    <w:rsid w:val="001B4DD8"/>
    <w:rsid w:val="001D06B7"/>
    <w:rsid w:val="001D7C5B"/>
    <w:rsid w:val="001E405A"/>
    <w:rsid w:val="001F22CD"/>
    <w:rsid w:val="001F2D50"/>
    <w:rsid w:val="001F698D"/>
    <w:rsid w:val="002131FE"/>
    <w:rsid w:val="002171D0"/>
    <w:rsid w:val="00245ABF"/>
    <w:rsid w:val="00262D7B"/>
    <w:rsid w:val="00263451"/>
    <w:rsid w:val="00271BAC"/>
    <w:rsid w:val="00272423"/>
    <w:rsid w:val="00275FD1"/>
    <w:rsid w:val="0028060F"/>
    <w:rsid w:val="00286AAF"/>
    <w:rsid w:val="002A2E42"/>
    <w:rsid w:val="002B3C5A"/>
    <w:rsid w:val="002C7B3C"/>
    <w:rsid w:val="002D69C2"/>
    <w:rsid w:val="002F422D"/>
    <w:rsid w:val="003371DF"/>
    <w:rsid w:val="003445B3"/>
    <w:rsid w:val="003605AE"/>
    <w:rsid w:val="00365FB0"/>
    <w:rsid w:val="00370F18"/>
    <w:rsid w:val="00393BB3"/>
    <w:rsid w:val="003A78A7"/>
    <w:rsid w:val="003D09F2"/>
    <w:rsid w:val="003E0142"/>
    <w:rsid w:val="003F4B02"/>
    <w:rsid w:val="004131A4"/>
    <w:rsid w:val="004262AE"/>
    <w:rsid w:val="004436AC"/>
    <w:rsid w:val="00443999"/>
    <w:rsid w:val="004628B5"/>
    <w:rsid w:val="00466131"/>
    <w:rsid w:val="00490D6F"/>
    <w:rsid w:val="00497AF7"/>
    <w:rsid w:val="004A1880"/>
    <w:rsid w:val="004D19AD"/>
    <w:rsid w:val="004D6981"/>
    <w:rsid w:val="004E2D56"/>
    <w:rsid w:val="004F3A07"/>
    <w:rsid w:val="00506A5B"/>
    <w:rsid w:val="00507353"/>
    <w:rsid w:val="00511621"/>
    <w:rsid w:val="00555DDB"/>
    <w:rsid w:val="005563EA"/>
    <w:rsid w:val="005836DB"/>
    <w:rsid w:val="00585935"/>
    <w:rsid w:val="005A0DAB"/>
    <w:rsid w:val="005B656F"/>
    <w:rsid w:val="005B6EE1"/>
    <w:rsid w:val="005C62AE"/>
    <w:rsid w:val="005C6E6C"/>
    <w:rsid w:val="005C7D27"/>
    <w:rsid w:val="005F3AB8"/>
    <w:rsid w:val="005F6D30"/>
    <w:rsid w:val="0060483E"/>
    <w:rsid w:val="00614056"/>
    <w:rsid w:val="00615B23"/>
    <w:rsid w:val="00631704"/>
    <w:rsid w:val="0064641A"/>
    <w:rsid w:val="006507A4"/>
    <w:rsid w:val="00664CE1"/>
    <w:rsid w:val="006771A8"/>
    <w:rsid w:val="00680CE5"/>
    <w:rsid w:val="006A21BB"/>
    <w:rsid w:val="006B0194"/>
    <w:rsid w:val="006C37A2"/>
    <w:rsid w:val="006C49C4"/>
    <w:rsid w:val="006E5EFE"/>
    <w:rsid w:val="006F1606"/>
    <w:rsid w:val="007011DB"/>
    <w:rsid w:val="0070212B"/>
    <w:rsid w:val="0070297D"/>
    <w:rsid w:val="00704962"/>
    <w:rsid w:val="00706ADE"/>
    <w:rsid w:val="007167CE"/>
    <w:rsid w:val="00732E20"/>
    <w:rsid w:val="00743540"/>
    <w:rsid w:val="00750771"/>
    <w:rsid w:val="0077278C"/>
    <w:rsid w:val="00787E11"/>
    <w:rsid w:val="007939AC"/>
    <w:rsid w:val="007953FB"/>
    <w:rsid w:val="007A47C4"/>
    <w:rsid w:val="007C238D"/>
    <w:rsid w:val="007D045B"/>
    <w:rsid w:val="007E3733"/>
    <w:rsid w:val="007E7E36"/>
    <w:rsid w:val="007F137A"/>
    <w:rsid w:val="007F7F9A"/>
    <w:rsid w:val="0080396A"/>
    <w:rsid w:val="00815607"/>
    <w:rsid w:val="008271A7"/>
    <w:rsid w:val="00837719"/>
    <w:rsid w:val="00837E17"/>
    <w:rsid w:val="0084387A"/>
    <w:rsid w:val="0084781F"/>
    <w:rsid w:val="00882E96"/>
    <w:rsid w:val="008A53D6"/>
    <w:rsid w:val="008A66D9"/>
    <w:rsid w:val="008B48F3"/>
    <w:rsid w:val="008B7EE6"/>
    <w:rsid w:val="008D6F3A"/>
    <w:rsid w:val="008F3420"/>
    <w:rsid w:val="00905493"/>
    <w:rsid w:val="00927DC6"/>
    <w:rsid w:val="00937D0F"/>
    <w:rsid w:val="00954A3B"/>
    <w:rsid w:val="00957383"/>
    <w:rsid w:val="00965B4D"/>
    <w:rsid w:val="00986272"/>
    <w:rsid w:val="00992178"/>
    <w:rsid w:val="009C19D1"/>
    <w:rsid w:val="009D3DFE"/>
    <w:rsid w:val="009D7091"/>
    <w:rsid w:val="009F0B56"/>
    <w:rsid w:val="00A02817"/>
    <w:rsid w:val="00A1674A"/>
    <w:rsid w:val="00A304DD"/>
    <w:rsid w:val="00A32EE7"/>
    <w:rsid w:val="00A401BB"/>
    <w:rsid w:val="00A4621A"/>
    <w:rsid w:val="00A51217"/>
    <w:rsid w:val="00A51A22"/>
    <w:rsid w:val="00A762EC"/>
    <w:rsid w:val="00AA28BD"/>
    <w:rsid w:val="00AE0C9C"/>
    <w:rsid w:val="00AE18FA"/>
    <w:rsid w:val="00AF10D5"/>
    <w:rsid w:val="00B35156"/>
    <w:rsid w:val="00B51C3D"/>
    <w:rsid w:val="00B62E5A"/>
    <w:rsid w:val="00B854C4"/>
    <w:rsid w:val="00B91E11"/>
    <w:rsid w:val="00BA25F5"/>
    <w:rsid w:val="00BA3A3A"/>
    <w:rsid w:val="00BB3152"/>
    <w:rsid w:val="00BB53F2"/>
    <w:rsid w:val="00BC68F6"/>
    <w:rsid w:val="00BF0328"/>
    <w:rsid w:val="00C04FDE"/>
    <w:rsid w:val="00C071F9"/>
    <w:rsid w:val="00C12258"/>
    <w:rsid w:val="00C226C5"/>
    <w:rsid w:val="00C26819"/>
    <w:rsid w:val="00C357CF"/>
    <w:rsid w:val="00C43B0E"/>
    <w:rsid w:val="00C45BA5"/>
    <w:rsid w:val="00C73CBA"/>
    <w:rsid w:val="00C7473A"/>
    <w:rsid w:val="00C855BE"/>
    <w:rsid w:val="00C9513F"/>
    <w:rsid w:val="00C95F21"/>
    <w:rsid w:val="00CC7F98"/>
    <w:rsid w:val="00CD272D"/>
    <w:rsid w:val="00CD7210"/>
    <w:rsid w:val="00CF5ED6"/>
    <w:rsid w:val="00D066EA"/>
    <w:rsid w:val="00D14ED5"/>
    <w:rsid w:val="00D20078"/>
    <w:rsid w:val="00D27A7C"/>
    <w:rsid w:val="00D308E5"/>
    <w:rsid w:val="00D62759"/>
    <w:rsid w:val="00D63CCD"/>
    <w:rsid w:val="00D70053"/>
    <w:rsid w:val="00D846E6"/>
    <w:rsid w:val="00D911CA"/>
    <w:rsid w:val="00D9391C"/>
    <w:rsid w:val="00DE3483"/>
    <w:rsid w:val="00DE6FDE"/>
    <w:rsid w:val="00DE77FE"/>
    <w:rsid w:val="00DF181B"/>
    <w:rsid w:val="00E05793"/>
    <w:rsid w:val="00E147DE"/>
    <w:rsid w:val="00E17FBD"/>
    <w:rsid w:val="00E251C7"/>
    <w:rsid w:val="00E661CC"/>
    <w:rsid w:val="00E77897"/>
    <w:rsid w:val="00E8472B"/>
    <w:rsid w:val="00E9010B"/>
    <w:rsid w:val="00E93645"/>
    <w:rsid w:val="00EA3DC1"/>
    <w:rsid w:val="00EB6FFF"/>
    <w:rsid w:val="00EC7192"/>
    <w:rsid w:val="00ED1366"/>
    <w:rsid w:val="00ED14E5"/>
    <w:rsid w:val="00ED5643"/>
    <w:rsid w:val="00ED78D5"/>
    <w:rsid w:val="00EF74CA"/>
    <w:rsid w:val="00F04D78"/>
    <w:rsid w:val="00F076BA"/>
    <w:rsid w:val="00F07BC7"/>
    <w:rsid w:val="00F161D7"/>
    <w:rsid w:val="00F16344"/>
    <w:rsid w:val="00F24B3E"/>
    <w:rsid w:val="00F373E0"/>
    <w:rsid w:val="00F44DAE"/>
    <w:rsid w:val="00F46BBB"/>
    <w:rsid w:val="00F51117"/>
    <w:rsid w:val="00F8052F"/>
    <w:rsid w:val="00F80668"/>
    <w:rsid w:val="00F829C9"/>
    <w:rsid w:val="00F83A7C"/>
    <w:rsid w:val="00FE7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0FCB9"/>
  <w15:docId w15:val="{7E796688-2942-4BFB-9CBF-122825F8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262D7B"/>
    <w:pPr>
      <w:keepNext/>
      <w:overflowPunct/>
      <w:autoSpaceDE/>
      <w:autoSpaceDN/>
      <w:adjustRightInd/>
      <w:jc w:val="right"/>
      <w:textAlignment w:val="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36AC"/>
    <w:rPr>
      <w:rFonts w:ascii="Tahoma" w:hAnsi="Tahoma" w:cs="Tahoma"/>
      <w:sz w:val="16"/>
      <w:szCs w:val="16"/>
    </w:rPr>
  </w:style>
  <w:style w:type="paragraph" w:styleId="BodyText">
    <w:name w:val="Body Text"/>
    <w:basedOn w:val="Normal"/>
    <w:rsid w:val="00262D7B"/>
    <w:pPr>
      <w:overflowPunct/>
      <w:autoSpaceDE/>
      <w:autoSpaceDN/>
      <w:adjustRightInd/>
      <w:textAlignment w:val="auto"/>
    </w:pPr>
  </w:style>
  <w:style w:type="character" w:styleId="Hyperlink">
    <w:name w:val="Hyperlink"/>
    <w:rsid w:val="00ED78D5"/>
    <w:rPr>
      <w:color w:val="0000FF"/>
      <w:u w:val="single"/>
    </w:rPr>
  </w:style>
  <w:style w:type="paragraph" w:styleId="Header">
    <w:name w:val="header"/>
    <w:basedOn w:val="Normal"/>
    <w:link w:val="HeaderChar"/>
    <w:unhideWhenUsed/>
    <w:rsid w:val="00F44DAE"/>
    <w:pPr>
      <w:tabs>
        <w:tab w:val="center" w:pos="4153"/>
        <w:tab w:val="right" w:pos="8306"/>
      </w:tabs>
    </w:pPr>
  </w:style>
  <w:style w:type="character" w:customStyle="1" w:styleId="HeaderChar">
    <w:name w:val="Header Char"/>
    <w:basedOn w:val="DefaultParagraphFont"/>
    <w:link w:val="Header"/>
    <w:rsid w:val="00F44DAE"/>
    <w:rPr>
      <w:sz w:val="24"/>
    </w:rPr>
  </w:style>
  <w:style w:type="paragraph" w:styleId="Footer">
    <w:name w:val="footer"/>
    <w:basedOn w:val="Normal"/>
    <w:link w:val="FooterChar"/>
    <w:unhideWhenUsed/>
    <w:rsid w:val="00F44DAE"/>
    <w:pPr>
      <w:tabs>
        <w:tab w:val="center" w:pos="4153"/>
        <w:tab w:val="right" w:pos="8306"/>
      </w:tabs>
    </w:pPr>
  </w:style>
  <w:style w:type="character" w:customStyle="1" w:styleId="FooterChar">
    <w:name w:val="Footer Char"/>
    <w:basedOn w:val="DefaultParagraphFont"/>
    <w:link w:val="Footer"/>
    <w:rsid w:val="00F44DAE"/>
    <w:rPr>
      <w:sz w:val="24"/>
    </w:rPr>
  </w:style>
  <w:style w:type="paragraph" w:styleId="ListParagraph">
    <w:name w:val="List Paragraph"/>
    <w:basedOn w:val="Normal"/>
    <w:uiPriority w:val="34"/>
    <w:qFormat/>
    <w:rsid w:val="00114C73"/>
    <w:pPr>
      <w:ind w:left="720"/>
      <w:contextualSpacing/>
    </w:pPr>
  </w:style>
  <w:style w:type="table" w:styleId="TableGrid">
    <w:name w:val="Table Grid"/>
    <w:basedOn w:val="TableNormal"/>
    <w:rsid w:val="00D6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50771"/>
    <w:pPr>
      <w:overflowPunct/>
      <w:autoSpaceDE/>
      <w:autoSpaceDN/>
      <w:adjustRightInd/>
      <w:spacing w:before="100" w:beforeAutospacing="1" w:after="100" w:afterAutospacing="1"/>
      <w:textAlignment w:val="auto"/>
    </w:pPr>
    <w:rPr>
      <w:szCs w:val="24"/>
    </w:rPr>
  </w:style>
  <w:style w:type="character" w:customStyle="1" w:styleId="UnresolvedMention1">
    <w:name w:val="Unresolved Mention1"/>
    <w:basedOn w:val="DefaultParagraphFont"/>
    <w:uiPriority w:val="99"/>
    <w:semiHidden/>
    <w:unhideWhenUsed/>
    <w:rsid w:val="000668BE"/>
    <w:rPr>
      <w:color w:val="605E5C"/>
      <w:shd w:val="clear" w:color="auto" w:fill="E1DFDD"/>
    </w:rPr>
  </w:style>
  <w:style w:type="paragraph" w:styleId="FootnoteText">
    <w:name w:val="footnote text"/>
    <w:basedOn w:val="Normal"/>
    <w:link w:val="FootnoteTextChar"/>
    <w:unhideWhenUsed/>
    <w:rsid w:val="005B6EE1"/>
    <w:rPr>
      <w:sz w:val="20"/>
    </w:rPr>
  </w:style>
  <w:style w:type="character" w:customStyle="1" w:styleId="FootnoteTextChar">
    <w:name w:val="Footnote Text Char"/>
    <w:basedOn w:val="DefaultParagraphFont"/>
    <w:link w:val="FootnoteText"/>
    <w:rsid w:val="005B6EE1"/>
  </w:style>
  <w:style w:type="character" w:styleId="FootnoteReference">
    <w:name w:val="footnote reference"/>
    <w:basedOn w:val="DefaultParagraphFont"/>
    <w:unhideWhenUsed/>
    <w:rsid w:val="005B6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0686">
      <w:bodyDiv w:val="1"/>
      <w:marLeft w:val="0"/>
      <w:marRight w:val="0"/>
      <w:marTop w:val="0"/>
      <w:marBottom w:val="0"/>
      <w:divBdr>
        <w:top w:val="none" w:sz="0" w:space="0" w:color="auto"/>
        <w:left w:val="none" w:sz="0" w:space="0" w:color="auto"/>
        <w:bottom w:val="none" w:sz="0" w:space="0" w:color="auto"/>
        <w:right w:val="none" w:sz="0" w:space="0" w:color="auto"/>
      </w:divBdr>
    </w:div>
    <w:div w:id="15570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eta.umbrasko@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B2C2-ACBA-4081-8EC9-FD8C8746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7230</Words>
  <Characters>4122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Jansone</dc:creator>
  <cp:lastModifiedBy>Šarlote Grīnberga</cp:lastModifiedBy>
  <cp:revision>2</cp:revision>
  <cp:lastPrinted>2020-03-25T08:32:00Z</cp:lastPrinted>
  <dcterms:created xsi:type="dcterms:W3CDTF">2024-08-22T13:08:00Z</dcterms:created>
  <dcterms:modified xsi:type="dcterms:W3CDTF">2024-08-22T13:08:00Z</dcterms:modified>
</cp:coreProperties>
</file>