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4"/>
        <w:tblW w:w="0" w:type="auto"/>
        <w:tblInd w:w="0" w:type="dxa"/>
        <w:shd w:val="clear" w:color="auto" w:fill="FFFFFF"/>
        <w:tblLayout w:type="autofit"/>
        <w:tblCellMar>
          <w:top w:w="0" w:type="dxa"/>
          <w:left w:w="0" w:type="dxa"/>
          <w:bottom w:w="0" w:type="dxa"/>
          <w:right w:w="0" w:type="dxa"/>
        </w:tblCellMar>
      </w:tblPr>
      <w:tblGrid>
        <w:gridCol w:w="9071"/>
      </w:tblGrid>
      <w:tr w14:paraId="601B1E1E">
        <w:tblPrEx>
          <w:tblCellMar>
            <w:top w:w="0" w:type="dxa"/>
            <w:left w:w="0" w:type="dxa"/>
            <w:bottom w:w="0" w:type="dxa"/>
            <w:right w:w="0" w:type="dxa"/>
          </w:tblCellMar>
        </w:tblPrEx>
        <w:tc>
          <w:tcPr>
            <w:tcW w:w="9071" w:type="dxa"/>
            <w:shd w:val="clear" w:color="auto" w:fill="FFFFFF"/>
          </w:tcPr>
          <w:p w14:paraId="601B1C82">
            <w:pPr>
              <w:jc w:val="right"/>
              <w:rPr>
                <w:rFonts w:eastAsia="Times New Roman" w:cs="Times New Roman"/>
                <w:szCs w:val="28"/>
                <w:lang w:val="en-US" w:eastAsia="lv-LV"/>
              </w:rPr>
            </w:pPr>
            <w:bookmarkStart w:id="2" w:name="_GoBack"/>
            <w:bookmarkEnd w:id="2"/>
          </w:p>
          <w:p w14:paraId="601B1C8A">
            <w:pPr>
              <w:jc w:val="right"/>
            </w:pPr>
            <w:bookmarkStart w:id="0" w:name="221821"/>
            <w:bookmarkEnd w:id="0"/>
            <w:bookmarkStart w:id="1" w:name="piel0"/>
            <w:bookmarkEnd w:id="1"/>
          </w:p>
          <w:tbl>
            <w:tblPr>
              <w:tblStyle w:val="4"/>
              <w:tblW w:w="5000" w:type="pct"/>
              <w:tblInd w:w="0" w:type="dxa"/>
              <w:tblLayout w:type="autofit"/>
              <w:tblCellMar>
                <w:top w:w="45" w:type="dxa"/>
                <w:left w:w="45" w:type="dxa"/>
                <w:bottom w:w="45" w:type="dxa"/>
                <w:right w:w="45" w:type="dxa"/>
              </w:tblCellMar>
            </w:tblPr>
            <w:tblGrid>
              <w:gridCol w:w="9071"/>
            </w:tblGrid>
            <w:tr w14:paraId="601B1C8C">
              <w:tc>
                <w:tcPr>
                  <w:tcW w:w="0" w:type="auto"/>
                  <w:tcBorders>
                    <w:top w:val="nil"/>
                    <w:left w:val="nil"/>
                    <w:bottom w:val="single" w:color="414142" w:sz="6" w:space="0"/>
                    <w:right w:val="nil"/>
                  </w:tcBorders>
                  <w:vAlign w:val="center"/>
                </w:tcPr>
                <w:p w14:paraId="71CC6C43">
                  <w:pPr>
                    <w:rPr>
                      <w:rFonts w:eastAsia="Times New Roman" w:cs="Times New Roman"/>
                      <w:i/>
                      <w:sz w:val="20"/>
                      <w:szCs w:val="20"/>
                      <w:lang w:eastAsia="lv-LV"/>
                    </w:rPr>
                  </w:pPr>
                </w:p>
                <w:p w14:paraId="53BFF153">
                  <w:pPr>
                    <w:jc w:val="center"/>
                    <w:rPr>
                      <w:rFonts w:eastAsia="Times New Roman" w:cs="Times New Roman"/>
                      <w:szCs w:val="28"/>
                    </w:rPr>
                  </w:pPr>
                  <w:r>
                    <w:rPr>
                      <w:rFonts w:cs="Times New Roman"/>
                      <w:color w:val="000000" w:themeColor="text1"/>
                      <w14:textFill>
                        <w14:solidFill>
                          <w14:schemeClr w14:val="tx1"/>
                        </w14:solidFill>
                      </w14:textFill>
                    </w:rPr>
                    <w:t>Āzenes iela 12 k-4, Rīga, LV-1048</w:t>
                  </w:r>
                  <w:r>
                    <w:rPr>
                      <w:rFonts w:eastAsia="Times New Roman" w:cs="Times New Roman"/>
                      <w:szCs w:val="28"/>
                    </w:rPr>
                    <w:t xml:space="preserve">, Reģ. Nr. </w:t>
                  </w:r>
                  <w:r>
                    <w:rPr>
                      <w:rFonts w:cs="Times New Roman"/>
                      <w:color w:val="000000" w:themeColor="text1"/>
                      <w14:textFill>
                        <w14:solidFill>
                          <w14:schemeClr w14:val="tx1"/>
                        </w14:solidFill>
                      </w14:textFill>
                    </w:rPr>
                    <w:t>40103419029</w:t>
                  </w:r>
                  <w:r>
                    <w:rPr>
                      <w:rFonts w:eastAsia="Times New Roman" w:cs="Times New Roman"/>
                      <w:szCs w:val="28"/>
                    </w:rPr>
                    <w:t>,</w:t>
                  </w:r>
                </w:p>
                <w:p w14:paraId="601B1C8B">
                  <w:pPr>
                    <w:jc w:val="center"/>
                    <w:rPr>
                      <w:rFonts w:eastAsia="Times New Roman" w:cs="Times New Roman"/>
                      <w:szCs w:val="28"/>
                      <w:lang w:eastAsia="lv-LV"/>
                    </w:rPr>
                  </w:pPr>
                  <w:r>
                    <w:rPr>
                      <w:rFonts w:eastAsia="Times New Roman" w:cs="Times New Roman"/>
                      <w:szCs w:val="28"/>
                      <w:lang w:eastAsia="lv-LV"/>
                    </w:rPr>
                    <w:t>Haralds Dombrovskis, sert. Nr. 4-02908, Nr. 5-02094.</w:t>
                  </w:r>
                </w:p>
              </w:tc>
            </w:tr>
            <w:tr w14:paraId="601B1C8E">
              <w:tblPrEx>
                <w:tblCellMar>
                  <w:top w:w="45" w:type="dxa"/>
                  <w:left w:w="45" w:type="dxa"/>
                  <w:bottom w:w="45" w:type="dxa"/>
                  <w:right w:w="45" w:type="dxa"/>
                </w:tblCellMar>
              </w:tblPrEx>
              <w:tc>
                <w:tcPr>
                  <w:tcW w:w="0" w:type="auto"/>
                  <w:tcBorders>
                    <w:top w:val="nil"/>
                    <w:left w:val="nil"/>
                    <w:bottom w:val="nil"/>
                    <w:right w:val="nil"/>
                  </w:tcBorders>
                  <w:vAlign w:val="center"/>
                </w:tcPr>
                <w:p w14:paraId="601B1C8D">
                  <w:pPr>
                    <w:rPr>
                      <w:rFonts w:eastAsia="Times New Roman" w:cs="Times New Roman"/>
                      <w:sz w:val="16"/>
                      <w:szCs w:val="16"/>
                      <w:lang w:eastAsia="lv-LV"/>
                    </w:rPr>
                  </w:pPr>
                  <w:r>
                    <w:rPr>
                      <w:rFonts w:eastAsia="Times New Roman" w:cs="Times New Roman"/>
                      <w:sz w:val="16"/>
                      <w:szCs w:val="16"/>
                      <w:lang w:eastAsia="lv-LV"/>
                    </w:rPr>
                    <w:t>(apsekotājs un tā rekvizīti – fiziskās personas vārds, uzvārds, sertifikāta Nr. vai juridiskās personas nosaukums, reģistrācijas Nr., būvkomersanta reģistrācijas apliecības Nr., juridiskā adrese, tālruņa numurs, elektroniskā pasta adrese)</w:t>
                  </w:r>
                </w:p>
              </w:tc>
            </w:tr>
          </w:tbl>
          <w:p w14:paraId="47733FF0">
            <w:pPr>
              <w:spacing w:before="100" w:beforeAutospacing="1" w:after="100" w:afterAutospacing="1" w:line="293" w:lineRule="atLeast"/>
              <w:ind w:firstLine="300"/>
              <w:jc w:val="center"/>
              <w:rPr>
                <w:rFonts w:eastAsia="Times New Roman" w:cs="Times New Roman"/>
                <w:b/>
                <w:bCs/>
                <w:sz w:val="32"/>
                <w:szCs w:val="32"/>
                <w:lang w:eastAsia="lv-LV"/>
              </w:rPr>
            </w:pPr>
            <w:r>
              <w:rPr>
                <w:rFonts w:eastAsia="Times New Roman" w:cs="Times New Roman"/>
                <w:b/>
                <w:bCs/>
                <w:sz w:val="32"/>
                <w:szCs w:val="32"/>
                <w:lang w:eastAsia="lv-LV"/>
              </w:rPr>
              <w:t>Tehniskās apsekošanas atzinums</w:t>
            </w:r>
          </w:p>
          <w:p w14:paraId="2B68A4D1">
            <w:pPr>
              <w:spacing w:before="100" w:beforeAutospacing="1" w:after="100" w:afterAutospacing="1" w:line="293" w:lineRule="atLeast"/>
              <w:ind w:firstLine="300"/>
              <w:jc w:val="center"/>
              <w:rPr>
                <w:rFonts w:eastAsia="Times New Roman" w:cs="Times New Roman"/>
                <w:b/>
                <w:bCs/>
                <w:szCs w:val="28"/>
                <w:lang w:eastAsia="lv-LV"/>
              </w:rPr>
            </w:pPr>
          </w:p>
          <w:p w14:paraId="423D2A00">
            <w:pPr>
              <w:jc w:val="center"/>
              <w:rPr>
                <w:rFonts w:eastAsia="Times New Roman" w:cs="Times New Roman"/>
                <w:bCs/>
                <w:szCs w:val="28"/>
                <w:u w:val="single"/>
                <w:lang w:eastAsia="lv-LV"/>
              </w:rPr>
            </w:pPr>
            <w:r>
              <w:rPr>
                <w:rFonts w:eastAsia="Times New Roman" w:cs="Times New Roman"/>
                <w:bCs/>
                <w:szCs w:val="28"/>
                <w:u w:val="single"/>
                <w:lang w:eastAsia="lv-LV"/>
              </w:rPr>
              <w:t xml:space="preserve">Mācību korpuss, kad. apz. </w:t>
            </w:r>
            <w:r>
              <w:fldChar w:fldCharType="begin"/>
            </w:r>
            <w:r>
              <w:instrText xml:space="preserve"> HYPERLINK "https://www.kadastrs.lv/buildings/4900134936?options%5Bdeep_expand%5D=false&amp;options%5Binline%5D=true&amp;options%5Bnew_tab%5D=false&amp;options%5Borigin%5D=property" </w:instrText>
            </w:r>
            <w:r>
              <w:fldChar w:fldCharType="separate"/>
            </w:r>
            <w:r>
              <w:rPr>
                <w:rFonts w:eastAsia="Times New Roman" w:cs="Times New Roman"/>
                <w:szCs w:val="28"/>
                <w:u w:val="single"/>
                <w:lang w:eastAsia="lv-LV"/>
              </w:rPr>
              <w:t>01000610087001</w:t>
            </w:r>
            <w:r>
              <w:rPr>
                <w:rFonts w:eastAsia="Times New Roman" w:cs="Times New Roman"/>
                <w:szCs w:val="28"/>
                <w:u w:val="single"/>
                <w:lang w:eastAsia="lv-LV"/>
              </w:rPr>
              <w:fldChar w:fldCharType="end"/>
            </w:r>
            <w:r>
              <w:rPr>
                <w:rFonts w:eastAsia="Times New Roman" w:cs="Times New Roman"/>
                <w:bCs/>
                <w:szCs w:val="28"/>
                <w:u w:val="single"/>
                <w:lang w:eastAsia="lv-LV"/>
              </w:rPr>
              <w:t>, Sētas iela 2, Rīga.</w:t>
            </w:r>
          </w:p>
          <w:p w14:paraId="30D5BF16">
            <w:pPr>
              <w:jc w:val="center"/>
              <w:rPr>
                <w:rFonts w:eastAsia="Times New Roman" w:cs="Times New Roman"/>
                <w:i/>
                <w:sz w:val="16"/>
                <w:szCs w:val="16"/>
                <w:lang w:eastAsia="lv-LV"/>
              </w:rPr>
            </w:pPr>
            <w:r>
              <w:rPr>
                <w:rFonts w:eastAsia="Times New Roman" w:cs="Times New Roman"/>
                <w:i/>
                <w:sz w:val="16"/>
                <w:szCs w:val="16"/>
                <w:lang w:eastAsia="lv-LV"/>
              </w:rPr>
              <w:t>(būves nosaukums, zemes vienības kadastra apzīmējums un adrese)</w:t>
            </w:r>
          </w:p>
          <w:p w14:paraId="1C135182">
            <w:pPr>
              <w:jc w:val="center"/>
              <w:rPr>
                <w:rFonts w:eastAsia="Times New Roman" w:cs="Times New Roman"/>
                <w:b/>
                <w:bCs/>
                <w:szCs w:val="28"/>
                <w:lang w:eastAsia="lv-LV"/>
              </w:rPr>
            </w:pPr>
          </w:p>
          <w:p w14:paraId="2C2AB57B">
            <w:pPr>
              <w:jc w:val="center"/>
              <w:rPr>
                <w:rFonts w:eastAsia="Times New Roman" w:cs="Times New Roman"/>
                <w:szCs w:val="28"/>
                <w:lang w:eastAsia="lv-LV"/>
              </w:rPr>
            </w:pPr>
            <w:r>
              <w:rPr>
                <w:rFonts w:eastAsia="Times New Roman" w:cs="Times New Roman"/>
                <w:szCs w:val="28"/>
                <w:u w:val="single"/>
                <w:lang w:eastAsia="lv-LV"/>
              </w:rPr>
              <w:t>Rīgas Tehniskā universitāte, reģ. Nr. 90000068977</w:t>
            </w:r>
          </w:p>
          <w:p w14:paraId="5626FB97">
            <w:pPr>
              <w:jc w:val="center"/>
              <w:rPr>
                <w:rFonts w:eastAsia="Times New Roman" w:cs="Times New Roman"/>
                <w:i/>
                <w:sz w:val="16"/>
                <w:szCs w:val="16"/>
                <w:lang w:eastAsia="lv-LV"/>
              </w:rPr>
            </w:pPr>
            <w:r>
              <w:rPr>
                <w:rFonts w:eastAsia="Times New Roman" w:cs="Times New Roman"/>
                <w:i/>
                <w:sz w:val="16"/>
                <w:szCs w:val="16"/>
                <w:lang w:eastAsia="lv-LV"/>
              </w:rPr>
              <w:t>(būves īpašnieks, līguma datums un numurs)</w:t>
            </w:r>
          </w:p>
          <w:p w14:paraId="308EABF2">
            <w:pPr>
              <w:jc w:val="center"/>
              <w:rPr>
                <w:rFonts w:eastAsia="Times New Roman" w:cs="Times New Roman"/>
                <w:sz w:val="16"/>
                <w:szCs w:val="16"/>
                <w:lang w:eastAsia="lv-LV"/>
              </w:rPr>
            </w:pPr>
          </w:p>
          <w:p w14:paraId="6E3E4E63">
            <w:pPr>
              <w:rPr>
                <w:rFonts w:eastAsia="Calibri"/>
                <w:b/>
                <w:kern w:val="56"/>
                <w:sz w:val="24"/>
                <w:szCs w:val="24"/>
              </w:rPr>
            </w:pPr>
            <w:r>
              <w:rPr>
                <w:rFonts w:eastAsia="Times New Roman" w:cs="Times New Roman"/>
                <w:szCs w:val="28"/>
                <w:lang w:eastAsia="lv-LV"/>
              </w:rPr>
              <w:t xml:space="preserve"> </w:t>
            </w:r>
            <w:r>
              <w:rPr>
                <w:sz w:val="24"/>
                <w:szCs w:val="24"/>
              </w:rPr>
              <w:t>1. veikt būves konstrukciju nolietojuma, mehāniskās izturības un drošības novērtēšanu;</w:t>
            </w:r>
          </w:p>
          <w:p w14:paraId="675228B8">
            <w:pPr>
              <w:tabs>
                <w:tab w:val="left" w:pos="1260"/>
              </w:tabs>
              <w:jc w:val="both"/>
              <w:rPr>
                <w:rFonts w:eastAsia="Calibri"/>
                <w:b/>
                <w:kern w:val="56"/>
                <w:sz w:val="24"/>
                <w:szCs w:val="24"/>
              </w:rPr>
            </w:pPr>
            <w:r>
              <w:rPr>
                <w:sz w:val="24"/>
                <w:szCs w:val="24"/>
              </w:rPr>
              <w:t xml:space="preserve"> 2. veikt defektu fotofiksāciju;</w:t>
            </w:r>
          </w:p>
          <w:p w14:paraId="55F10551">
            <w:pPr>
              <w:tabs>
                <w:tab w:val="left" w:pos="1260"/>
              </w:tabs>
              <w:jc w:val="both"/>
              <w:rPr>
                <w:rFonts w:eastAsia="Calibri"/>
                <w:b/>
                <w:kern w:val="56"/>
                <w:sz w:val="24"/>
                <w:szCs w:val="24"/>
              </w:rPr>
            </w:pPr>
            <w:r>
              <w:rPr>
                <w:sz w:val="24"/>
                <w:szCs w:val="24"/>
              </w:rPr>
              <w:t xml:space="preserve"> 3. veikt inženiersistēmu nolietojuma un atbilstības normatīvo aktu prasībām noteikšanu;</w:t>
            </w:r>
          </w:p>
          <w:p w14:paraId="1A65D28A">
            <w:pPr>
              <w:tabs>
                <w:tab w:val="left" w:pos="1260"/>
              </w:tabs>
              <w:jc w:val="both"/>
              <w:rPr>
                <w:rFonts w:eastAsia="Calibri"/>
                <w:b/>
                <w:kern w:val="56"/>
                <w:sz w:val="24"/>
                <w:szCs w:val="24"/>
              </w:rPr>
            </w:pPr>
            <w:r>
              <w:rPr>
                <w:rFonts w:eastAsia="Calibri"/>
                <w:kern w:val="56"/>
                <w:sz w:val="24"/>
                <w:szCs w:val="24"/>
              </w:rPr>
              <w:t xml:space="preserve"> 4. sagatavot atzinumu atbilstoši Latvijas būvnormatīvam LBN 405-15 “Būvju tehniskā apsekošana”.</w:t>
            </w:r>
          </w:p>
          <w:p w14:paraId="5631023C">
            <w:pPr>
              <w:jc w:val="center"/>
              <w:rPr>
                <w:rFonts w:eastAsia="Times New Roman" w:cs="Times New Roman"/>
                <w:sz w:val="16"/>
                <w:szCs w:val="16"/>
                <w:lang w:eastAsia="lv-LV"/>
              </w:rPr>
            </w:pPr>
            <w:r>
              <w:rPr>
                <w:rFonts w:eastAsia="Times New Roman" w:cs="Times New Roman"/>
                <w:sz w:val="16"/>
                <w:szCs w:val="16"/>
                <w:lang w:eastAsia="lv-LV"/>
              </w:rPr>
              <w:t>(</w:t>
            </w:r>
            <w:r>
              <w:rPr>
                <w:rFonts w:eastAsia="Times New Roman" w:cs="Times New Roman"/>
                <w:i/>
                <w:sz w:val="16"/>
                <w:szCs w:val="16"/>
                <w:lang w:eastAsia="lv-LV"/>
              </w:rPr>
              <w:t>apsekošanas uzdevums, tā izsniegšanas datums)</w:t>
            </w:r>
          </w:p>
          <w:p w14:paraId="312F93F6">
            <w:pPr>
              <w:spacing w:before="100" w:beforeAutospacing="1" w:after="100" w:afterAutospacing="1" w:line="293" w:lineRule="atLeast"/>
              <w:rPr>
                <w:rFonts w:eastAsia="Times New Roman" w:cs="Times New Roman"/>
                <w:szCs w:val="28"/>
                <w:lang w:eastAsia="lv-LV"/>
              </w:rPr>
            </w:pPr>
            <w:r>
              <w:rPr>
                <w:rFonts w:eastAsia="Times New Roman" w:cs="Times New Roman"/>
                <w:szCs w:val="28"/>
                <w:lang w:eastAsia="lv-LV"/>
              </w:rPr>
              <w:t>Atzinums izsniegts 2023. gada 7.decembrī.</w:t>
            </w:r>
          </w:p>
          <w:tbl>
            <w:tblPr>
              <w:tblStyle w:val="4"/>
              <w:tblW w:w="5000" w:type="pct"/>
              <w:tblInd w:w="0" w:type="dxa"/>
              <w:tblLayout w:type="autofit"/>
              <w:tblCellMar>
                <w:top w:w="45" w:type="dxa"/>
                <w:left w:w="45" w:type="dxa"/>
                <w:bottom w:w="45" w:type="dxa"/>
                <w:right w:w="45" w:type="dxa"/>
              </w:tblCellMar>
            </w:tblPr>
            <w:tblGrid>
              <w:gridCol w:w="9071"/>
            </w:tblGrid>
            <w:tr w14:paraId="09792213">
              <w:tc>
                <w:tcPr>
                  <w:tcW w:w="0" w:type="auto"/>
                  <w:tcBorders>
                    <w:top w:val="nil"/>
                    <w:left w:val="nil"/>
                    <w:bottom w:val="single" w:color="414142" w:sz="6" w:space="0"/>
                    <w:right w:val="nil"/>
                  </w:tcBorders>
                  <w:vAlign w:val="center"/>
                </w:tcPr>
                <w:p w14:paraId="44D70F77">
                  <w:pPr>
                    <w:rPr>
                      <w:rFonts w:eastAsia="Times New Roman" w:cs="Times New Roman"/>
                      <w:b/>
                      <w:szCs w:val="28"/>
                      <w:lang w:eastAsia="lv-LV"/>
                    </w:rPr>
                  </w:pPr>
                  <w:r>
                    <w:rPr>
                      <w:rFonts w:cs="Times New Roman"/>
                      <w:color w:val="000000" w:themeColor="text1"/>
                      <w14:textFill>
                        <w14:solidFill>
                          <w14:schemeClr w14:val="tx1"/>
                        </w14:solidFill>
                      </w14:textFill>
                    </w:rPr>
                    <w:t>Āzenes iela 12 k-4, Rīga, LV-1048</w:t>
                  </w:r>
                  <w:r>
                    <w:rPr>
                      <w:rFonts w:eastAsia="Times New Roman" w:cs="Times New Roman"/>
                      <w:szCs w:val="28"/>
                    </w:rPr>
                    <w:t xml:space="preserve">, Reģ. Nr. </w:t>
                  </w:r>
                  <w:r>
                    <w:rPr>
                      <w:rFonts w:cs="Times New Roman"/>
                      <w:color w:val="000000" w:themeColor="text1"/>
                      <w14:textFill>
                        <w14:solidFill>
                          <w14:schemeClr w14:val="tx1"/>
                        </w14:solidFill>
                      </w14:textFill>
                    </w:rPr>
                    <w:t>40103419029</w:t>
                  </w:r>
                </w:p>
              </w:tc>
            </w:tr>
            <w:tr w14:paraId="40C4A78A">
              <w:tblPrEx>
                <w:tblCellMar>
                  <w:top w:w="45" w:type="dxa"/>
                  <w:left w:w="45" w:type="dxa"/>
                  <w:bottom w:w="45" w:type="dxa"/>
                  <w:right w:w="45" w:type="dxa"/>
                </w:tblCellMar>
              </w:tblPrEx>
              <w:tc>
                <w:tcPr>
                  <w:tcW w:w="0" w:type="auto"/>
                  <w:tcBorders>
                    <w:top w:val="nil"/>
                    <w:left w:val="nil"/>
                    <w:bottom w:val="nil"/>
                    <w:right w:val="nil"/>
                  </w:tcBorders>
                  <w:vAlign w:val="center"/>
                </w:tcPr>
                <w:p w14:paraId="071CDE37">
                  <w:pPr>
                    <w:spacing w:before="100" w:beforeAutospacing="1" w:after="100" w:afterAutospacing="1" w:line="293" w:lineRule="atLeast"/>
                    <w:jc w:val="center"/>
                    <w:rPr>
                      <w:rFonts w:eastAsia="Times New Roman" w:cs="Times New Roman"/>
                      <w:i/>
                      <w:sz w:val="20"/>
                      <w:szCs w:val="20"/>
                      <w:lang w:eastAsia="lv-LV"/>
                    </w:rPr>
                  </w:pPr>
                  <w:r>
                    <w:rPr>
                      <w:rFonts w:eastAsia="Times New Roman" w:cs="Times New Roman"/>
                      <w:i/>
                      <w:sz w:val="20"/>
                      <w:szCs w:val="20"/>
                      <w:lang w:eastAsia="lv-LV"/>
                    </w:rPr>
                    <w:t>(fiziskās personas vārds un uzvārds vai juridiskās personas nosaukums)</w:t>
                  </w:r>
                </w:p>
                <w:p w14:paraId="1E3A61BF">
                  <w:pPr>
                    <w:tabs>
                      <w:tab w:val="left" w:pos="1260"/>
                    </w:tabs>
                    <w:jc w:val="both"/>
                    <w:rPr>
                      <w:rFonts w:eastAsia="Times New Roman" w:cs="Times New Roman"/>
                      <w:szCs w:val="28"/>
                      <w:lang w:eastAsia="lv-LV"/>
                    </w:rPr>
                  </w:pPr>
                </w:p>
              </w:tc>
            </w:tr>
          </w:tbl>
          <w:p w14:paraId="6AD03E72">
            <w:pPr>
              <w:pStyle w:val="14"/>
              <w:spacing w:before="130" w:line="260" w:lineRule="exact"/>
              <w:ind w:left="0" w:firstLine="539"/>
              <w:contextualSpacing w:val="0"/>
              <w:jc w:val="center"/>
              <w:rPr>
                <w:rFonts w:eastAsia="Times New Roman" w:cs="Times New Roman"/>
                <w:b/>
                <w:bCs/>
                <w:szCs w:val="28"/>
                <w:lang w:eastAsia="lv-LV"/>
              </w:rPr>
            </w:pPr>
            <w:r>
              <w:rPr>
                <w:rFonts w:eastAsia="Times New Roman" w:cs="Times New Roman"/>
                <w:b/>
                <w:bCs/>
                <w:szCs w:val="28"/>
                <w:lang w:eastAsia="lv-LV"/>
              </w:rPr>
              <w:t>1. Vispārīgas ziņas par būvi</w:t>
            </w:r>
          </w:p>
          <w:p w14:paraId="51F8995E">
            <w:pPr>
              <w:pStyle w:val="14"/>
              <w:spacing w:before="130" w:line="260" w:lineRule="exact"/>
              <w:ind w:left="0" w:firstLine="539"/>
              <w:contextualSpacing w:val="0"/>
              <w:jc w:val="center"/>
              <w:rPr>
                <w:rFonts w:eastAsia="Times New Roman" w:cs="Times New Roman"/>
                <w:bCs/>
                <w:szCs w:val="28"/>
                <w:lang w:eastAsia="lv-LV"/>
              </w:rPr>
            </w:pPr>
          </w:p>
          <w:p w14:paraId="49209206">
            <w:pPr>
              <w:pStyle w:val="14"/>
              <w:spacing w:before="130" w:line="260" w:lineRule="exact"/>
              <w:ind w:left="0" w:firstLine="539"/>
              <w:contextualSpacing w:val="0"/>
              <w:jc w:val="center"/>
              <w:rPr>
                <w:rFonts w:eastAsia="Times New Roman" w:cs="Times New Roman"/>
                <w:bCs/>
                <w:sz w:val="20"/>
                <w:szCs w:val="20"/>
                <w:lang w:eastAsia="lv-LV"/>
              </w:rPr>
            </w:pPr>
            <w:r>
              <w:rPr>
                <w:rFonts w:eastAsia="Times New Roman" w:cs="Times New Roman"/>
                <w:bCs/>
                <w:sz w:val="20"/>
                <w:szCs w:val="20"/>
                <w:lang w:eastAsia="lv-LV"/>
              </w:rPr>
              <w:t>(Datus par būvi aizpilda no jaunākās dokumentācijas – būves kadastrālās uzmērīšanas lietas vai būvprojekta)</w:t>
            </w:r>
          </w:p>
          <w:p w14:paraId="018ED915">
            <w:pPr>
              <w:pStyle w:val="14"/>
              <w:spacing w:before="130" w:line="260" w:lineRule="exact"/>
              <w:ind w:left="0" w:firstLine="539"/>
              <w:contextualSpacing w:val="0"/>
              <w:jc w:val="center"/>
              <w:rPr>
                <w:rFonts w:eastAsia="Times New Roman" w:cs="Times New Roman"/>
                <w:bCs/>
                <w:szCs w:val="28"/>
                <w:lang w:eastAsia="lv-LV"/>
              </w:rPr>
            </w:pP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28" w:type="dxa"/>
                <w:bottom w:w="28" w:type="dxa"/>
                <w:right w:w="28" w:type="dxa"/>
              </w:tblCellMar>
            </w:tblPr>
            <w:tblGrid>
              <w:gridCol w:w="906"/>
              <w:gridCol w:w="5660"/>
              <w:gridCol w:w="2495"/>
            </w:tblGrid>
            <w:tr w14:paraId="40D51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500" w:type="pct"/>
                  <w:vAlign w:val="center"/>
                </w:tcPr>
                <w:p w14:paraId="602AB97E">
                  <w:pPr>
                    <w:rPr>
                      <w:rFonts w:eastAsia="Times New Roman" w:cs="Times New Roman"/>
                      <w:sz w:val="24"/>
                      <w:szCs w:val="24"/>
                      <w:lang w:eastAsia="lv-LV"/>
                    </w:rPr>
                  </w:pPr>
                  <w:r>
                    <w:rPr>
                      <w:rFonts w:eastAsia="Times New Roman" w:cs="Times New Roman"/>
                      <w:sz w:val="24"/>
                      <w:szCs w:val="24"/>
                      <w:lang w:eastAsia="lv-LV"/>
                    </w:rPr>
                    <w:t>1.1.</w:t>
                  </w:r>
                </w:p>
              </w:tc>
              <w:tc>
                <w:tcPr>
                  <w:tcW w:w="3123" w:type="pct"/>
                  <w:vAlign w:val="center"/>
                </w:tcPr>
                <w:p w14:paraId="621AFFD3">
                  <w:pPr>
                    <w:rPr>
                      <w:rFonts w:eastAsia="Times New Roman" w:cs="Times New Roman"/>
                      <w:sz w:val="24"/>
                      <w:szCs w:val="24"/>
                      <w:lang w:eastAsia="lv-LV"/>
                    </w:rPr>
                  </w:pPr>
                  <w:r>
                    <w:rPr>
                      <w:rFonts w:eastAsia="Times New Roman" w:cs="Times New Roman"/>
                      <w:sz w:val="24"/>
                      <w:szCs w:val="24"/>
                      <w:lang w:eastAsia="lv-LV"/>
                    </w:rPr>
                    <w:t>galvenais lietošanas veids</w:t>
                  </w:r>
                </w:p>
              </w:tc>
              <w:tc>
                <w:tcPr>
                  <w:tcW w:w="1377" w:type="pct"/>
                  <w:vAlign w:val="center"/>
                </w:tcPr>
                <w:p w14:paraId="07055906">
                  <w:pPr>
                    <w:rPr>
                      <w:rFonts w:eastAsia="Times New Roman" w:cs="Times New Roman"/>
                      <w:sz w:val="24"/>
                      <w:szCs w:val="24"/>
                      <w:lang w:eastAsia="lv-LV"/>
                    </w:rPr>
                  </w:pPr>
                  <w:r>
                    <w:rPr>
                      <w:rFonts w:eastAsia="Times New Roman" w:cs="Times New Roman"/>
                      <w:sz w:val="24"/>
                      <w:szCs w:val="24"/>
                      <w:lang w:eastAsia="lv-LV"/>
                    </w:rPr>
                    <w:t>1263 – Skolas, universitātes un zinātniskās ēkas</w:t>
                  </w:r>
                </w:p>
              </w:tc>
            </w:tr>
            <w:tr w14:paraId="6368A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500" w:type="pct"/>
                  <w:vAlign w:val="center"/>
                </w:tcPr>
                <w:p w14:paraId="4A502529">
                  <w:pPr>
                    <w:rPr>
                      <w:rFonts w:eastAsia="Times New Roman" w:cs="Times New Roman"/>
                      <w:sz w:val="24"/>
                      <w:szCs w:val="24"/>
                      <w:lang w:eastAsia="lv-LV"/>
                    </w:rPr>
                  </w:pPr>
                  <w:r>
                    <w:rPr>
                      <w:rFonts w:eastAsia="Times New Roman" w:cs="Times New Roman"/>
                      <w:sz w:val="24"/>
                      <w:szCs w:val="24"/>
                      <w:lang w:eastAsia="lv-LV"/>
                    </w:rPr>
                    <w:t>1.2.</w:t>
                  </w:r>
                </w:p>
              </w:tc>
              <w:tc>
                <w:tcPr>
                  <w:tcW w:w="3123" w:type="pct"/>
                  <w:vAlign w:val="center"/>
                </w:tcPr>
                <w:p w14:paraId="7FAE7919">
                  <w:pPr>
                    <w:rPr>
                      <w:rFonts w:eastAsia="Times New Roman" w:cs="Times New Roman"/>
                      <w:sz w:val="24"/>
                      <w:szCs w:val="24"/>
                      <w:lang w:eastAsia="lv-LV"/>
                    </w:rPr>
                  </w:pPr>
                  <w:r>
                    <w:rPr>
                      <w:rFonts w:eastAsia="Times New Roman" w:cs="Times New Roman"/>
                      <w:sz w:val="24"/>
                      <w:szCs w:val="24"/>
                      <w:lang w:eastAsia="lv-LV"/>
                    </w:rPr>
                    <w:t>kopējā platība (m</w:t>
                  </w:r>
                  <w:r>
                    <w:rPr>
                      <w:rFonts w:eastAsia="Times New Roman" w:cs="Times New Roman"/>
                      <w:sz w:val="24"/>
                      <w:szCs w:val="24"/>
                      <w:vertAlign w:val="superscript"/>
                      <w:lang w:eastAsia="lv-LV"/>
                    </w:rPr>
                    <w:t>2</w:t>
                  </w:r>
                  <w:r>
                    <w:rPr>
                      <w:rFonts w:eastAsia="Times New Roman" w:cs="Times New Roman"/>
                      <w:sz w:val="24"/>
                      <w:szCs w:val="24"/>
                      <w:lang w:eastAsia="lv-LV"/>
                    </w:rPr>
                    <w:t>)</w:t>
                  </w:r>
                </w:p>
              </w:tc>
              <w:tc>
                <w:tcPr>
                  <w:tcW w:w="1377" w:type="pct"/>
                  <w:vAlign w:val="center"/>
                </w:tcPr>
                <w:p w14:paraId="1148869B">
                  <w:pPr>
                    <w:rPr>
                      <w:rFonts w:eastAsia="Times New Roman" w:cs="Times New Roman"/>
                      <w:sz w:val="24"/>
                      <w:szCs w:val="24"/>
                      <w:lang w:eastAsia="lv-LV"/>
                    </w:rPr>
                  </w:pPr>
                  <w:r>
                    <w:rPr>
                      <w:rFonts w:eastAsia="Times New Roman" w:cs="Times New Roman"/>
                      <w:sz w:val="24"/>
                      <w:szCs w:val="24"/>
                      <w:lang w:eastAsia="lv-LV"/>
                    </w:rPr>
                    <w:t>5781,5</w:t>
                  </w:r>
                </w:p>
              </w:tc>
            </w:tr>
            <w:tr w14:paraId="2D01B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500" w:type="pct"/>
                  <w:vAlign w:val="center"/>
                </w:tcPr>
                <w:p w14:paraId="3FEDC7E4">
                  <w:pPr>
                    <w:rPr>
                      <w:rFonts w:eastAsia="Times New Roman" w:cs="Times New Roman"/>
                      <w:sz w:val="24"/>
                      <w:szCs w:val="24"/>
                      <w:lang w:eastAsia="lv-LV"/>
                    </w:rPr>
                  </w:pPr>
                  <w:r>
                    <w:rPr>
                      <w:rFonts w:eastAsia="Times New Roman" w:cs="Times New Roman"/>
                      <w:sz w:val="24"/>
                      <w:szCs w:val="24"/>
                      <w:lang w:eastAsia="lv-LV"/>
                    </w:rPr>
                    <w:t>1.3.</w:t>
                  </w:r>
                </w:p>
              </w:tc>
              <w:tc>
                <w:tcPr>
                  <w:tcW w:w="3123" w:type="pct"/>
                  <w:vAlign w:val="center"/>
                </w:tcPr>
                <w:p w14:paraId="201A537E">
                  <w:pPr>
                    <w:rPr>
                      <w:rFonts w:eastAsia="Times New Roman" w:cs="Times New Roman"/>
                      <w:sz w:val="24"/>
                      <w:szCs w:val="24"/>
                      <w:lang w:eastAsia="lv-LV"/>
                    </w:rPr>
                  </w:pPr>
                  <w:r>
                    <w:rPr>
                      <w:rFonts w:eastAsia="Times New Roman" w:cs="Times New Roman"/>
                      <w:sz w:val="24"/>
                      <w:szCs w:val="24"/>
                      <w:lang w:eastAsia="lv-LV"/>
                    </w:rPr>
                    <w:t>apbūves laukums (m</w:t>
                  </w:r>
                  <w:r>
                    <w:rPr>
                      <w:rFonts w:eastAsia="Times New Roman" w:cs="Times New Roman"/>
                      <w:sz w:val="24"/>
                      <w:szCs w:val="24"/>
                      <w:vertAlign w:val="superscript"/>
                      <w:lang w:eastAsia="lv-LV"/>
                    </w:rPr>
                    <w:t>2</w:t>
                  </w:r>
                  <w:r>
                    <w:rPr>
                      <w:rFonts w:eastAsia="Times New Roman" w:cs="Times New Roman"/>
                      <w:sz w:val="24"/>
                      <w:szCs w:val="24"/>
                      <w:lang w:eastAsia="lv-LV"/>
                    </w:rPr>
                    <w:t>)</w:t>
                  </w:r>
                </w:p>
              </w:tc>
              <w:tc>
                <w:tcPr>
                  <w:tcW w:w="1377" w:type="pct"/>
                  <w:vAlign w:val="center"/>
                </w:tcPr>
                <w:p w14:paraId="26463187">
                  <w:pPr>
                    <w:rPr>
                      <w:rFonts w:eastAsia="Times New Roman" w:cs="Times New Roman"/>
                      <w:sz w:val="24"/>
                      <w:szCs w:val="24"/>
                      <w:lang w:eastAsia="lv-LV"/>
                    </w:rPr>
                  </w:pPr>
                  <w:r>
                    <w:rPr>
                      <w:rFonts w:eastAsia="Times New Roman" w:cs="Times New Roman"/>
                      <w:sz w:val="24"/>
                      <w:szCs w:val="24"/>
                      <w:lang w:eastAsia="lv-LV"/>
                    </w:rPr>
                    <w:t>1327,6</w:t>
                  </w:r>
                </w:p>
              </w:tc>
            </w:tr>
            <w:tr w14:paraId="10C80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500" w:type="pct"/>
                  <w:vAlign w:val="center"/>
                </w:tcPr>
                <w:p w14:paraId="36EA718F">
                  <w:pPr>
                    <w:rPr>
                      <w:rFonts w:eastAsia="Times New Roman" w:cs="Times New Roman"/>
                      <w:sz w:val="24"/>
                      <w:szCs w:val="24"/>
                      <w:lang w:eastAsia="lv-LV"/>
                    </w:rPr>
                  </w:pPr>
                  <w:r>
                    <w:rPr>
                      <w:rFonts w:eastAsia="Times New Roman" w:cs="Times New Roman"/>
                      <w:sz w:val="24"/>
                      <w:szCs w:val="24"/>
                      <w:lang w:eastAsia="lv-LV"/>
                    </w:rPr>
                    <w:t>1.4.</w:t>
                  </w:r>
                </w:p>
              </w:tc>
              <w:tc>
                <w:tcPr>
                  <w:tcW w:w="3123" w:type="pct"/>
                  <w:vAlign w:val="center"/>
                </w:tcPr>
                <w:p w14:paraId="5B135C48">
                  <w:pPr>
                    <w:rPr>
                      <w:rFonts w:eastAsia="Times New Roman" w:cs="Times New Roman"/>
                      <w:sz w:val="24"/>
                      <w:szCs w:val="24"/>
                      <w:lang w:eastAsia="lv-LV"/>
                    </w:rPr>
                  </w:pPr>
                  <w:r>
                    <w:rPr>
                      <w:rFonts w:eastAsia="Times New Roman" w:cs="Times New Roman"/>
                      <w:sz w:val="24"/>
                      <w:szCs w:val="24"/>
                      <w:lang w:eastAsia="lv-LV"/>
                    </w:rPr>
                    <w:t>būvtilpums (m</w:t>
                  </w:r>
                  <w:r>
                    <w:rPr>
                      <w:rFonts w:eastAsia="Times New Roman" w:cs="Times New Roman"/>
                      <w:sz w:val="24"/>
                      <w:szCs w:val="24"/>
                      <w:vertAlign w:val="superscript"/>
                      <w:lang w:eastAsia="lv-LV"/>
                    </w:rPr>
                    <w:t>3</w:t>
                  </w:r>
                  <w:r>
                    <w:rPr>
                      <w:rFonts w:eastAsia="Times New Roman" w:cs="Times New Roman"/>
                      <w:sz w:val="24"/>
                      <w:szCs w:val="24"/>
                      <w:lang w:eastAsia="lv-LV"/>
                    </w:rPr>
                    <w:t>)</w:t>
                  </w:r>
                </w:p>
              </w:tc>
              <w:tc>
                <w:tcPr>
                  <w:tcW w:w="1377" w:type="pct"/>
                  <w:vAlign w:val="center"/>
                </w:tcPr>
                <w:p w14:paraId="76FB0539">
                  <w:pPr>
                    <w:rPr>
                      <w:rFonts w:eastAsia="Times New Roman" w:cs="Times New Roman"/>
                      <w:sz w:val="24"/>
                      <w:szCs w:val="24"/>
                      <w:lang w:eastAsia="lv-LV"/>
                    </w:rPr>
                  </w:pPr>
                  <w:r>
                    <w:rPr>
                      <w:rFonts w:eastAsia="Times New Roman" w:cs="Times New Roman"/>
                      <w:sz w:val="24"/>
                      <w:szCs w:val="24"/>
                      <w:lang w:eastAsia="lv-LV"/>
                    </w:rPr>
                    <w:t>21973</w:t>
                  </w:r>
                </w:p>
              </w:tc>
            </w:tr>
            <w:tr w14:paraId="474DE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500" w:type="pct"/>
                  <w:vAlign w:val="center"/>
                </w:tcPr>
                <w:p w14:paraId="65D29E8A">
                  <w:pPr>
                    <w:rPr>
                      <w:rFonts w:eastAsia="Times New Roman" w:cs="Times New Roman"/>
                      <w:sz w:val="24"/>
                      <w:szCs w:val="24"/>
                      <w:lang w:eastAsia="lv-LV"/>
                    </w:rPr>
                  </w:pPr>
                  <w:r>
                    <w:rPr>
                      <w:rFonts w:eastAsia="Times New Roman" w:cs="Times New Roman"/>
                      <w:sz w:val="24"/>
                      <w:szCs w:val="24"/>
                      <w:lang w:eastAsia="lv-LV"/>
                    </w:rPr>
                    <w:t>1.5.</w:t>
                  </w:r>
                </w:p>
              </w:tc>
              <w:tc>
                <w:tcPr>
                  <w:tcW w:w="3123" w:type="pct"/>
                  <w:vAlign w:val="center"/>
                </w:tcPr>
                <w:p w14:paraId="5C1907D2">
                  <w:pPr>
                    <w:rPr>
                      <w:rFonts w:eastAsia="Times New Roman" w:cs="Times New Roman"/>
                      <w:sz w:val="24"/>
                      <w:szCs w:val="24"/>
                      <w:lang w:eastAsia="lv-LV"/>
                    </w:rPr>
                  </w:pPr>
                  <w:r>
                    <w:rPr>
                      <w:rFonts w:eastAsia="Times New Roman" w:cs="Times New Roman"/>
                      <w:sz w:val="24"/>
                      <w:szCs w:val="24"/>
                      <w:lang w:eastAsia="lv-LV"/>
                    </w:rPr>
                    <w:t>virszemes stāvu skaits</w:t>
                  </w:r>
                </w:p>
              </w:tc>
              <w:tc>
                <w:tcPr>
                  <w:tcW w:w="1377" w:type="pct"/>
                  <w:vAlign w:val="center"/>
                </w:tcPr>
                <w:p w14:paraId="26CFBD72">
                  <w:pPr>
                    <w:rPr>
                      <w:rFonts w:eastAsia="Times New Roman" w:cs="Times New Roman"/>
                      <w:sz w:val="24"/>
                      <w:szCs w:val="24"/>
                      <w:lang w:eastAsia="lv-LV"/>
                    </w:rPr>
                  </w:pPr>
                  <w:r>
                    <w:rPr>
                      <w:rFonts w:eastAsia="Times New Roman" w:cs="Times New Roman"/>
                      <w:sz w:val="24"/>
                      <w:szCs w:val="24"/>
                      <w:lang w:eastAsia="lv-LV"/>
                    </w:rPr>
                    <w:t>5</w:t>
                  </w:r>
                </w:p>
              </w:tc>
            </w:tr>
            <w:tr w14:paraId="5AD00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500" w:type="pct"/>
                  <w:vAlign w:val="center"/>
                </w:tcPr>
                <w:p w14:paraId="13C3EEA9">
                  <w:pPr>
                    <w:rPr>
                      <w:rFonts w:eastAsia="Times New Roman" w:cs="Times New Roman"/>
                      <w:sz w:val="24"/>
                      <w:szCs w:val="24"/>
                      <w:lang w:eastAsia="lv-LV"/>
                    </w:rPr>
                  </w:pPr>
                  <w:r>
                    <w:rPr>
                      <w:rFonts w:eastAsia="Times New Roman" w:cs="Times New Roman"/>
                      <w:sz w:val="24"/>
                      <w:szCs w:val="24"/>
                      <w:lang w:eastAsia="lv-LV"/>
                    </w:rPr>
                    <w:t>1.6.</w:t>
                  </w:r>
                </w:p>
              </w:tc>
              <w:tc>
                <w:tcPr>
                  <w:tcW w:w="3123" w:type="pct"/>
                  <w:vAlign w:val="center"/>
                </w:tcPr>
                <w:p w14:paraId="5EA77F6B">
                  <w:pPr>
                    <w:rPr>
                      <w:rFonts w:eastAsia="Times New Roman" w:cs="Times New Roman"/>
                      <w:sz w:val="24"/>
                      <w:szCs w:val="24"/>
                      <w:lang w:eastAsia="lv-LV"/>
                    </w:rPr>
                  </w:pPr>
                  <w:r>
                    <w:rPr>
                      <w:rFonts w:eastAsia="Times New Roman" w:cs="Times New Roman"/>
                      <w:sz w:val="24"/>
                      <w:szCs w:val="24"/>
                      <w:lang w:eastAsia="lv-LV"/>
                    </w:rPr>
                    <w:t>pazemes stāvu skaits</w:t>
                  </w:r>
                </w:p>
              </w:tc>
              <w:tc>
                <w:tcPr>
                  <w:tcW w:w="1377" w:type="pct"/>
                  <w:vAlign w:val="center"/>
                </w:tcPr>
                <w:p w14:paraId="03F63B44">
                  <w:pPr>
                    <w:rPr>
                      <w:rFonts w:eastAsia="Times New Roman" w:cs="Times New Roman"/>
                      <w:sz w:val="24"/>
                      <w:szCs w:val="24"/>
                      <w:lang w:eastAsia="lv-LV"/>
                    </w:rPr>
                  </w:pPr>
                  <w:r>
                    <w:rPr>
                      <w:rFonts w:eastAsia="Times New Roman" w:cs="Times New Roman"/>
                      <w:sz w:val="24"/>
                      <w:szCs w:val="24"/>
                      <w:lang w:eastAsia="lv-LV"/>
                    </w:rPr>
                    <w:t>1</w:t>
                  </w:r>
                </w:p>
              </w:tc>
            </w:tr>
            <w:tr w14:paraId="1F0B9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500" w:type="pct"/>
                  <w:vAlign w:val="center"/>
                </w:tcPr>
                <w:p w14:paraId="79414B3E">
                  <w:pPr>
                    <w:rPr>
                      <w:rFonts w:eastAsia="Times New Roman" w:cs="Times New Roman"/>
                      <w:sz w:val="24"/>
                      <w:szCs w:val="24"/>
                      <w:lang w:eastAsia="lv-LV"/>
                    </w:rPr>
                  </w:pPr>
                  <w:r>
                    <w:rPr>
                      <w:rFonts w:eastAsia="Times New Roman" w:cs="Times New Roman"/>
                      <w:sz w:val="24"/>
                      <w:szCs w:val="24"/>
                      <w:lang w:eastAsia="lv-LV"/>
                    </w:rPr>
                    <w:t>1.7.</w:t>
                  </w:r>
                </w:p>
              </w:tc>
              <w:tc>
                <w:tcPr>
                  <w:tcW w:w="3123" w:type="pct"/>
                  <w:vAlign w:val="center"/>
                </w:tcPr>
                <w:p w14:paraId="58F08AD9">
                  <w:pPr>
                    <w:rPr>
                      <w:rFonts w:eastAsia="Times New Roman" w:cs="Times New Roman"/>
                      <w:sz w:val="24"/>
                      <w:szCs w:val="24"/>
                      <w:lang w:eastAsia="lv-LV"/>
                    </w:rPr>
                  </w:pPr>
                  <w:r>
                    <w:rPr>
                      <w:rFonts w:eastAsia="Times New Roman" w:cs="Times New Roman"/>
                      <w:sz w:val="24"/>
                      <w:szCs w:val="24"/>
                      <w:lang w:eastAsia="lv-LV"/>
                    </w:rPr>
                    <w:t xml:space="preserve">būves kadastra apzīmējums </w:t>
                  </w:r>
                </w:p>
              </w:tc>
              <w:tc>
                <w:tcPr>
                  <w:tcW w:w="1377" w:type="pct"/>
                  <w:vAlign w:val="center"/>
                </w:tcPr>
                <w:p w14:paraId="0588C43F">
                  <w:pPr>
                    <w:rPr>
                      <w:rFonts w:eastAsia="Times New Roman" w:cs="Times New Roman"/>
                      <w:sz w:val="24"/>
                      <w:szCs w:val="24"/>
                      <w:lang w:eastAsia="lv-LV"/>
                    </w:rPr>
                  </w:pPr>
                  <w:r>
                    <w:fldChar w:fldCharType="begin"/>
                  </w:r>
                  <w:r>
                    <w:instrText xml:space="preserve"> HYPERLINK "https://www.kadastrs.lv/buildings/4900134936?options%5Bdeep_expand%5D=false&amp;options%5Binline%5D=true&amp;options%5Bnew_tab%5D=false&amp;options%5Borigin%5D=property" </w:instrText>
                  </w:r>
                  <w:r>
                    <w:fldChar w:fldCharType="separate"/>
                  </w:r>
                  <w:r>
                    <w:rPr>
                      <w:rFonts w:eastAsia="Times New Roman" w:cs="Times New Roman"/>
                      <w:sz w:val="24"/>
                      <w:szCs w:val="24"/>
                      <w:lang w:eastAsia="lv-LV"/>
                    </w:rPr>
                    <w:t>01000610087001</w:t>
                  </w:r>
                  <w:r>
                    <w:rPr>
                      <w:rFonts w:eastAsia="Times New Roman" w:cs="Times New Roman"/>
                      <w:sz w:val="24"/>
                      <w:szCs w:val="24"/>
                      <w:lang w:eastAsia="lv-LV"/>
                    </w:rPr>
                    <w:fldChar w:fldCharType="end"/>
                  </w:r>
                </w:p>
              </w:tc>
            </w:tr>
            <w:tr w14:paraId="6BCB3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500" w:type="pct"/>
                  <w:vAlign w:val="center"/>
                </w:tcPr>
                <w:p w14:paraId="1A453647">
                  <w:pPr>
                    <w:rPr>
                      <w:rFonts w:eastAsia="Times New Roman" w:cs="Times New Roman"/>
                      <w:sz w:val="24"/>
                      <w:szCs w:val="24"/>
                      <w:lang w:eastAsia="lv-LV"/>
                    </w:rPr>
                  </w:pPr>
                  <w:r>
                    <w:rPr>
                      <w:rFonts w:eastAsia="Times New Roman" w:cs="Times New Roman"/>
                      <w:sz w:val="24"/>
                      <w:szCs w:val="24"/>
                      <w:lang w:eastAsia="lv-LV"/>
                    </w:rPr>
                    <w:t>1.8.</w:t>
                  </w:r>
                </w:p>
              </w:tc>
              <w:tc>
                <w:tcPr>
                  <w:tcW w:w="3123" w:type="pct"/>
                  <w:vAlign w:val="center"/>
                </w:tcPr>
                <w:p w14:paraId="6C3FEF46">
                  <w:pPr>
                    <w:rPr>
                      <w:rFonts w:eastAsia="Times New Roman" w:cs="Times New Roman"/>
                      <w:sz w:val="24"/>
                      <w:szCs w:val="24"/>
                      <w:lang w:eastAsia="lv-LV"/>
                    </w:rPr>
                  </w:pPr>
                  <w:r>
                    <w:rPr>
                      <w:rFonts w:eastAsia="Times New Roman" w:cs="Times New Roman"/>
                      <w:sz w:val="24"/>
                      <w:szCs w:val="24"/>
                      <w:lang w:eastAsia="lv-LV"/>
                    </w:rPr>
                    <w:t>būves īpašnieks</w:t>
                  </w:r>
                </w:p>
              </w:tc>
              <w:tc>
                <w:tcPr>
                  <w:tcW w:w="1377" w:type="pct"/>
                  <w:vAlign w:val="center"/>
                </w:tcPr>
                <w:p w14:paraId="23C5E151">
                  <w:pPr>
                    <w:rPr>
                      <w:rFonts w:eastAsia="Times New Roman" w:cs="Times New Roman"/>
                      <w:sz w:val="24"/>
                      <w:szCs w:val="24"/>
                      <w:lang w:eastAsia="lv-LV"/>
                    </w:rPr>
                  </w:pPr>
                  <w:r>
                    <w:rPr>
                      <w:rFonts w:eastAsia="Times New Roman" w:cs="Times New Roman"/>
                      <w:sz w:val="24"/>
                      <w:szCs w:val="24"/>
                      <w:lang w:eastAsia="lv-LV"/>
                    </w:rPr>
                    <w:t>Rīgas Tehniskā universitāte</w:t>
                  </w:r>
                </w:p>
              </w:tc>
            </w:tr>
            <w:tr w14:paraId="6D19E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500" w:type="pct"/>
                  <w:vAlign w:val="center"/>
                </w:tcPr>
                <w:p w14:paraId="6D99F9CB">
                  <w:pPr>
                    <w:rPr>
                      <w:rFonts w:eastAsia="Times New Roman" w:cs="Times New Roman"/>
                      <w:sz w:val="24"/>
                      <w:szCs w:val="24"/>
                      <w:lang w:eastAsia="lv-LV"/>
                    </w:rPr>
                  </w:pPr>
                  <w:r>
                    <w:rPr>
                      <w:rFonts w:eastAsia="Times New Roman" w:cs="Times New Roman"/>
                      <w:sz w:val="24"/>
                      <w:szCs w:val="24"/>
                      <w:lang w:eastAsia="lv-LV"/>
                    </w:rPr>
                    <w:t>1.9.</w:t>
                  </w:r>
                </w:p>
              </w:tc>
              <w:tc>
                <w:tcPr>
                  <w:tcW w:w="3123" w:type="pct"/>
                  <w:vAlign w:val="center"/>
                </w:tcPr>
                <w:p w14:paraId="4710DDCD">
                  <w:pPr>
                    <w:rPr>
                      <w:rFonts w:eastAsia="Times New Roman" w:cs="Times New Roman"/>
                      <w:sz w:val="24"/>
                      <w:szCs w:val="24"/>
                      <w:lang w:eastAsia="lv-LV"/>
                    </w:rPr>
                  </w:pPr>
                  <w:r>
                    <w:rPr>
                      <w:rFonts w:eastAsia="Times New Roman" w:cs="Times New Roman"/>
                      <w:sz w:val="24"/>
                      <w:szCs w:val="24"/>
                      <w:lang w:eastAsia="lv-LV"/>
                    </w:rPr>
                    <w:t>būvprojekta izstrādātājs (būvprojekta autors)</w:t>
                  </w:r>
                </w:p>
              </w:tc>
              <w:tc>
                <w:tcPr>
                  <w:tcW w:w="1377" w:type="pct"/>
                  <w:vAlign w:val="center"/>
                </w:tcPr>
                <w:p w14:paraId="2206DAB4">
                  <w:pPr>
                    <w:rPr>
                      <w:rFonts w:eastAsia="Times New Roman" w:cs="Times New Roman"/>
                      <w:sz w:val="24"/>
                      <w:szCs w:val="24"/>
                      <w:lang w:eastAsia="lv-LV"/>
                    </w:rPr>
                  </w:pPr>
                  <w:r>
                    <w:rPr>
                      <w:rFonts w:eastAsia="Times New Roman" w:cs="Times New Roman"/>
                      <w:sz w:val="24"/>
                      <w:szCs w:val="24"/>
                      <w:lang w:eastAsia="lv-LV"/>
                    </w:rPr>
                    <w:t>-</w:t>
                  </w:r>
                </w:p>
              </w:tc>
            </w:tr>
            <w:tr w14:paraId="3C66B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500" w:type="pct"/>
                  <w:vAlign w:val="center"/>
                </w:tcPr>
                <w:p w14:paraId="14EB1322">
                  <w:pPr>
                    <w:rPr>
                      <w:rFonts w:eastAsia="Times New Roman" w:cs="Times New Roman"/>
                      <w:sz w:val="24"/>
                      <w:szCs w:val="24"/>
                      <w:lang w:eastAsia="lv-LV"/>
                    </w:rPr>
                  </w:pPr>
                  <w:r>
                    <w:rPr>
                      <w:rFonts w:eastAsia="Times New Roman" w:cs="Times New Roman"/>
                      <w:sz w:val="24"/>
                      <w:szCs w:val="24"/>
                      <w:lang w:eastAsia="lv-LV"/>
                    </w:rPr>
                    <w:t>1.10.</w:t>
                  </w:r>
                </w:p>
              </w:tc>
              <w:tc>
                <w:tcPr>
                  <w:tcW w:w="3123" w:type="pct"/>
                  <w:vAlign w:val="center"/>
                </w:tcPr>
                <w:p w14:paraId="1949B9B9">
                  <w:pPr>
                    <w:rPr>
                      <w:rFonts w:eastAsia="Times New Roman" w:cs="Times New Roman"/>
                      <w:sz w:val="24"/>
                      <w:szCs w:val="24"/>
                      <w:lang w:eastAsia="lv-LV"/>
                    </w:rPr>
                  </w:pPr>
                  <w:r>
                    <w:rPr>
                      <w:rFonts w:eastAsia="Times New Roman" w:cs="Times New Roman"/>
                      <w:sz w:val="24"/>
                      <w:szCs w:val="24"/>
                      <w:lang w:eastAsia="lv-LV"/>
                    </w:rPr>
                    <w:t>būvprojekta nosaukums, akceptēšanas datums</w:t>
                  </w:r>
                </w:p>
              </w:tc>
              <w:tc>
                <w:tcPr>
                  <w:tcW w:w="1377" w:type="pct"/>
                  <w:vAlign w:val="center"/>
                </w:tcPr>
                <w:p w14:paraId="0C39B64B">
                  <w:pPr>
                    <w:rPr>
                      <w:rFonts w:eastAsia="Times New Roman" w:cs="Times New Roman"/>
                      <w:sz w:val="24"/>
                      <w:szCs w:val="24"/>
                      <w:lang w:eastAsia="lv-LV"/>
                    </w:rPr>
                  </w:pPr>
                  <w:r>
                    <w:rPr>
                      <w:rFonts w:eastAsia="Times New Roman" w:cs="Times New Roman"/>
                      <w:sz w:val="24"/>
                      <w:szCs w:val="24"/>
                      <w:lang w:eastAsia="lv-LV"/>
                    </w:rPr>
                    <w:t>-</w:t>
                  </w:r>
                </w:p>
              </w:tc>
            </w:tr>
            <w:tr w14:paraId="72BFF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500" w:type="pct"/>
                  <w:vAlign w:val="center"/>
                </w:tcPr>
                <w:p w14:paraId="4B328745">
                  <w:pPr>
                    <w:rPr>
                      <w:rFonts w:eastAsia="Times New Roman" w:cs="Times New Roman"/>
                      <w:sz w:val="24"/>
                      <w:szCs w:val="24"/>
                      <w:lang w:eastAsia="lv-LV"/>
                    </w:rPr>
                  </w:pPr>
                  <w:r>
                    <w:rPr>
                      <w:rFonts w:eastAsia="Times New Roman" w:cs="Times New Roman"/>
                      <w:sz w:val="24"/>
                      <w:szCs w:val="24"/>
                      <w:lang w:eastAsia="lv-LV"/>
                    </w:rPr>
                    <w:t>1.11.</w:t>
                  </w:r>
                </w:p>
              </w:tc>
              <w:tc>
                <w:tcPr>
                  <w:tcW w:w="3123" w:type="pct"/>
                  <w:vAlign w:val="center"/>
                </w:tcPr>
                <w:p w14:paraId="6C7C2C65">
                  <w:pPr>
                    <w:rPr>
                      <w:rFonts w:eastAsia="Times New Roman" w:cs="Times New Roman"/>
                      <w:sz w:val="24"/>
                      <w:szCs w:val="24"/>
                      <w:lang w:eastAsia="lv-LV"/>
                    </w:rPr>
                  </w:pPr>
                  <w:r>
                    <w:rPr>
                      <w:rFonts w:eastAsia="Times New Roman" w:cs="Times New Roman"/>
                      <w:sz w:val="24"/>
                      <w:szCs w:val="24"/>
                      <w:lang w:eastAsia="lv-LV"/>
                    </w:rPr>
                    <w:t>būves nodošana ekspluatācijā (datums)</w:t>
                  </w:r>
                </w:p>
              </w:tc>
              <w:tc>
                <w:tcPr>
                  <w:tcW w:w="1377" w:type="pct"/>
                  <w:vAlign w:val="center"/>
                </w:tcPr>
                <w:p w14:paraId="23B21874">
                  <w:pPr>
                    <w:rPr>
                      <w:rFonts w:eastAsia="Times New Roman" w:cs="Times New Roman"/>
                      <w:sz w:val="24"/>
                      <w:szCs w:val="24"/>
                      <w:lang w:eastAsia="lv-LV"/>
                    </w:rPr>
                  </w:pPr>
                  <w:r>
                    <w:rPr>
                      <w:rFonts w:eastAsia="Times New Roman" w:cs="Times New Roman"/>
                      <w:sz w:val="24"/>
                      <w:szCs w:val="24"/>
                      <w:lang w:eastAsia="lv-LV"/>
                    </w:rPr>
                    <w:t>1967</w:t>
                  </w:r>
                </w:p>
              </w:tc>
            </w:tr>
            <w:tr w14:paraId="7116B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500" w:type="pct"/>
                  <w:vAlign w:val="center"/>
                </w:tcPr>
                <w:p w14:paraId="4AC23EBD">
                  <w:pPr>
                    <w:rPr>
                      <w:rFonts w:eastAsia="Times New Roman" w:cs="Times New Roman"/>
                      <w:sz w:val="24"/>
                      <w:szCs w:val="24"/>
                      <w:lang w:eastAsia="lv-LV"/>
                    </w:rPr>
                  </w:pPr>
                  <w:r>
                    <w:rPr>
                      <w:rFonts w:eastAsia="Times New Roman" w:cs="Times New Roman"/>
                      <w:sz w:val="24"/>
                      <w:szCs w:val="24"/>
                      <w:lang w:eastAsia="lv-LV"/>
                    </w:rPr>
                    <w:t>1.12.</w:t>
                  </w:r>
                </w:p>
              </w:tc>
              <w:tc>
                <w:tcPr>
                  <w:tcW w:w="3123" w:type="pct"/>
                  <w:vAlign w:val="center"/>
                </w:tcPr>
                <w:p w14:paraId="18EDAD1B">
                  <w:pPr>
                    <w:rPr>
                      <w:rFonts w:eastAsia="Times New Roman" w:cs="Times New Roman"/>
                      <w:sz w:val="24"/>
                      <w:szCs w:val="24"/>
                      <w:lang w:eastAsia="lv-LV"/>
                    </w:rPr>
                  </w:pPr>
                  <w:r>
                    <w:rPr>
                      <w:rFonts w:eastAsia="Times New Roman" w:cs="Times New Roman"/>
                      <w:sz w:val="24"/>
                      <w:szCs w:val="24"/>
                      <w:lang w:eastAsia="lv-LV"/>
                    </w:rPr>
                    <w:t>būves konservācijas datums</w:t>
                  </w:r>
                </w:p>
              </w:tc>
              <w:tc>
                <w:tcPr>
                  <w:tcW w:w="1377" w:type="pct"/>
                  <w:vAlign w:val="center"/>
                </w:tcPr>
                <w:p w14:paraId="1447A3AA">
                  <w:pPr>
                    <w:rPr>
                      <w:rFonts w:eastAsia="Times New Roman" w:cs="Times New Roman"/>
                      <w:sz w:val="24"/>
                      <w:szCs w:val="24"/>
                      <w:lang w:eastAsia="lv-LV"/>
                    </w:rPr>
                  </w:pPr>
                  <w:r>
                    <w:rPr>
                      <w:rFonts w:eastAsia="Times New Roman" w:cs="Times New Roman"/>
                      <w:sz w:val="24"/>
                      <w:szCs w:val="24"/>
                      <w:lang w:eastAsia="lv-LV"/>
                    </w:rPr>
                    <w:t>-</w:t>
                  </w:r>
                </w:p>
              </w:tc>
            </w:tr>
            <w:tr w14:paraId="4FFAD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500" w:type="pct"/>
                  <w:vAlign w:val="center"/>
                </w:tcPr>
                <w:p w14:paraId="0EF06B40">
                  <w:pPr>
                    <w:rPr>
                      <w:rFonts w:eastAsia="Times New Roman" w:cs="Times New Roman"/>
                      <w:sz w:val="24"/>
                      <w:szCs w:val="24"/>
                      <w:lang w:eastAsia="lv-LV"/>
                    </w:rPr>
                  </w:pPr>
                  <w:r>
                    <w:rPr>
                      <w:rFonts w:eastAsia="Times New Roman" w:cs="Times New Roman"/>
                      <w:sz w:val="24"/>
                      <w:szCs w:val="24"/>
                      <w:lang w:eastAsia="lv-LV"/>
                    </w:rPr>
                    <w:t>1.13.</w:t>
                  </w:r>
                </w:p>
              </w:tc>
              <w:tc>
                <w:tcPr>
                  <w:tcW w:w="3123" w:type="pct"/>
                  <w:vAlign w:val="center"/>
                </w:tcPr>
                <w:p w14:paraId="384F2994">
                  <w:pPr>
                    <w:rPr>
                      <w:rFonts w:eastAsia="Times New Roman" w:cs="Times New Roman"/>
                      <w:sz w:val="24"/>
                      <w:szCs w:val="24"/>
                      <w:lang w:eastAsia="lv-LV"/>
                    </w:rPr>
                  </w:pPr>
                  <w:r>
                    <w:rPr>
                      <w:rFonts w:eastAsia="Times New Roman" w:cs="Times New Roman"/>
                      <w:sz w:val="24"/>
                      <w:szCs w:val="24"/>
                      <w:lang w:eastAsia="lv-LV"/>
                    </w:rPr>
                    <w:t>būves atjaunošanas, pārbūves, restaurācijas gads</w:t>
                  </w:r>
                </w:p>
              </w:tc>
              <w:tc>
                <w:tcPr>
                  <w:tcW w:w="1377" w:type="pct"/>
                  <w:vAlign w:val="center"/>
                </w:tcPr>
                <w:p w14:paraId="57C1E9F5">
                  <w:pPr>
                    <w:rPr>
                      <w:rFonts w:eastAsia="Times New Roman" w:cs="Times New Roman"/>
                      <w:sz w:val="24"/>
                      <w:szCs w:val="24"/>
                      <w:lang w:eastAsia="lv-LV"/>
                    </w:rPr>
                  </w:pPr>
                  <w:r>
                    <w:rPr>
                      <w:rFonts w:eastAsia="Times New Roman" w:cs="Times New Roman"/>
                      <w:sz w:val="24"/>
                      <w:szCs w:val="24"/>
                      <w:lang w:eastAsia="lv-LV"/>
                    </w:rPr>
                    <w:t>-</w:t>
                  </w:r>
                </w:p>
              </w:tc>
            </w:tr>
            <w:tr w14:paraId="69BD8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500" w:type="pct"/>
                  <w:vAlign w:val="center"/>
                </w:tcPr>
                <w:p w14:paraId="6503CE21">
                  <w:pPr>
                    <w:rPr>
                      <w:rFonts w:eastAsia="Times New Roman" w:cs="Times New Roman"/>
                      <w:sz w:val="24"/>
                      <w:szCs w:val="24"/>
                      <w:lang w:eastAsia="lv-LV"/>
                    </w:rPr>
                  </w:pPr>
                  <w:r>
                    <w:rPr>
                      <w:rFonts w:eastAsia="Times New Roman" w:cs="Times New Roman"/>
                      <w:sz w:val="24"/>
                      <w:szCs w:val="24"/>
                      <w:lang w:eastAsia="lv-LV"/>
                    </w:rPr>
                    <w:t>1.14.</w:t>
                  </w:r>
                </w:p>
              </w:tc>
              <w:tc>
                <w:tcPr>
                  <w:tcW w:w="3123" w:type="pct"/>
                  <w:vAlign w:val="center"/>
                </w:tcPr>
                <w:p w14:paraId="5E07BBD3">
                  <w:pPr>
                    <w:rPr>
                      <w:rFonts w:eastAsia="Times New Roman" w:cs="Times New Roman"/>
                      <w:sz w:val="24"/>
                      <w:szCs w:val="24"/>
                      <w:lang w:eastAsia="lv-LV"/>
                    </w:rPr>
                  </w:pPr>
                  <w:r>
                    <w:rPr>
                      <w:rFonts w:eastAsia="Times New Roman" w:cs="Times New Roman"/>
                      <w:sz w:val="24"/>
                      <w:szCs w:val="24"/>
                      <w:lang w:eastAsia="lv-LV"/>
                    </w:rPr>
                    <w:t>būves kadastrālās uzmērīšanas lietas datums</w:t>
                  </w:r>
                </w:p>
              </w:tc>
              <w:tc>
                <w:tcPr>
                  <w:tcW w:w="1377" w:type="pct"/>
                  <w:vAlign w:val="center"/>
                </w:tcPr>
                <w:p w14:paraId="2E5A0022">
                  <w:pPr>
                    <w:rPr>
                      <w:rFonts w:eastAsia="Times New Roman" w:cs="Times New Roman"/>
                      <w:sz w:val="24"/>
                      <w:szCs w:val="24"/>
                      <w:lang w:eastAsia="lv-LV"/>
                    </w:rPr>
                  </w:pPr>
                  <w:r>
                    <w:rPr>
                      <w:rFonts w:eastAsia="Times New Roman" w:cs="Times New Roman"/>
                      <w:sz w:val="24"/>
                      <w:szCs w:val="24"/>
                      <w:lang w:eastAsia="lv-LV"/>
                    </w:rPr>
                    <w:t>22.06.2006.</w:t>
                  </w:r>
                </w:p>
              </w:tc>
            </w:tr>
            <w:tr w14:paraId="772FA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500" w:type="pct"/>
                  <w:vAlign w:val="center"/>
                </w:tcPr>
                <w:p w14:paraId="26E9A864">
                  <w:pPr>
                    <w:rPr>
                      <w:rFonts w:eastAsia="Times New Roman" w:cs="Times New Roman"/>
                      <w:sz w:val="24"/>
                      <w:szCs w:val="24"/>
                      <w:lang w:eastAsia="lv-LV"/>
                    </w:rPr>
                  </w:pPr>
                  <w:r>
                    <w:rPr>
                      <w:rFonts w:eastAsia="Times New Roman" w:cs="Times New Roman"/>
                      <w:sz w:val="24"/>
                      <w:szCs w:val="24"/>
                      <w:lang w:eastAsia="lv-LV"/>
                    </w:rPr>
                    <w:t>1.15.</w:t>
                  </w:r>
                </w:p>
              </w:tc>
              <w:tc>
                <w:tcPr>
                  <w:tcW w:w="3123" w:type="pct"/>
                  <w:vAlign w:val="center"/>
                </w:tcPr>
                <w:p w14:paraId="6CEDBB19">
                  <w:pPr>
                    <w:rPr>
                      <w:rFonts w:eastAsia="Times New Roman" w:cs="Times New Roman"/>
                      <w:sz w:val="24"/>
                      <w:szCs w:val="24"/>
                      <w:lang w:eastAsia="lv-LV"/>
                    </w:rPr>
                  </w:pPr>
                  <w:r>
                    <w:rPr>
                      <w:rFonts w:eastAsia="Times New Roman" w:cs="Times New Roman"/>
                      <w:sz w:val="24"/>
                      <w:szCs w:val="24"/>
                      <w:lang w:eastAsia="lv-LV"/>
                    </w:rPr>
                    <w:t>cita informācija, kuru apsekotājs uzskata par nepieciešamu</w:t>
                  </w:r>
                </w:p>
              </w:tc>
              <w:tc>
                <w:tcPr>
                  <w:tcW w:w="1377" w:type="pct"/>
                  <w:vAlign w:val="center"/>
                </w:tcPr>
                <w:p w14:paraId="2AE101CC">
                  <w:pPr>
                    <w:rPr>
                      <w:rFonts w:eastAsia="Times New Roman" w:cs="Times New Roman"/>
                      <w:sz w:val="24"/>
                      <w:szCs w:val="24"/>
                      <w:lang w:val="en-US" w:eastAsia="lv-LV"/>
                    </w:rPr>
                  </w:pPr>
                  <w:r>
                    <w:rPr>
                      <w:rFonts w:eastAsia="Times New Roman" w:cs="Times New Roman"/>
                      <w:sz w:val="24"/>
                      <w:szCs w:val="24"/>
                      <w:lang w:eastAsia="lv-LV"/>
                    </w:rPr>
                    <w:t>-</w:t>
                  </w:r>
                </w:p>
              </w:tc>
            </w:tr>
          </w:tbl>
          <w:p w14:paraId="79F926CD">
            <w:pPr>
              <w:pStyle w:val="14"/>
              <w:spacing w:before="130" w:line="260" w:lineRule="exact"/>
              <w:ind w:left="0" w:firstLine="539"/>
              <w:contextualSpacing w:val="0"/>
              <w:jc w:val="center"/>
              <w:rPr>
                <w:rFonts w:eastAsia="Times New Roman" w:cs="Times New Roman"/>
                <w:bCs/>
                <w:szCs w:val="28"/>
                <w:lang w:eastAsia="lv-LV"/>
              </w:rPr>
            </w:pPr>
          </w:p>
          <w:p w14:paraId="66528B9E">
            <w:pPr>
              <w:pStyle w:val="14"/>
              <w:spacing w:before="130" w:line="260" w:lineRule="exact"/>
              <w:ind w:left="0" w:firstLine="539"/>
              <w:contextualSpacing w:val="0"/>
              <w:jc w:val="center"/>
              <w:rPr>
                <w:rFonts w:eastAsia="Times New Roman" w:cs="Times New Roman"/>
                <w:b/>
                <w:bCs/>
                <w:szCs w:val="28"/>
                <w:lang w:eastAsia="lv-LV"/>
              </w:rPr>
            </w:pPr>
            <w:r>
              <w:rPr>
                <w:rFonts w:eastAsia="Times New Roman" w:cs="Times New Roman"/>
                <w:b/>
                <w:bCs/>
                <w:szCs w:val="28"/>
                <w:lang w:eastAsia="lv-LV"/>
              </w:rPr>
              <w:t>2. Situācija</w:t>
            </w:r>
          </w:p>
          <w:p w14:paraId="07C32410">
            <w:pPr>
              <w:pStyle w:val="14"/>
              <w:spacing w:before="130" w:line="260" w:lineRule="exact"/>
              <w:ind w:left="0" w:firstLine="539"/>
              <w:contextualSpacing w:val="0"/>
              <w:jc w:val="center"/>
              <w:rPr>
                <w:rFonts w:eastAsia="Times New Roman" w:cs="Times New Roman"/>
                <w:bCs/>
                <w:szCs w:val="28"/>
                <w:lang w:eastAsia="lv-LV"/>
              </w:rPr>
            </w:pP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28" w:type="dxa"/>
                <w:bottom w:w="28" w:type="dxa"/>
                <w:right w:w="28" w:type="dxa"/>
              </w:tblCellMar>
            </w:tblPr>
            <w:tblGrid>
              <w:gridCol w:w="906"/>
              <w:gridCol w:w="8155"/>
            </w:tblGrid>
            <w:tr w14:paraId="7AC7B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 w:type="pct"/>
                  <w:vAlign w:val="center"/>
                </w:tcPr>
                <w:p w14:paraId="644B305C">
                  <w:pPr>
                    <w:rPr>
                      <w:rFonts w:eastAsia="Times New Roman" w:cs="Times New Roman"/>
                      <w:szCs w:val="28"/>
                      <w:lang w:eastAsia="lv-LV"/>
                    </w:rPr>
                  </w:pPr>
                  <w:r>
                    <w:rPr>
                      <w:rFonts w:eastAsia="Times New Roman" w:cs="Times New Roman"/>
                      <w:szCs w:val="28"/>
                      <w:lang w:eastAsia="lv-LV"/>
                    </w:rPr>
                    <w:t>2.1.</w:t>
                  </w:r>
                </w:p>
              </w:tc>
              <w:tc>
                <w:tcPr>
                  <w:tcW w:w="0" w:type="auto"/>
                  <w:vAlign w:val="center"/>
                </w:tcPr>
                <w:p w14:paraId="338B1C41">
                  <w:pPr>
                    <w:rPr>
                      <w:rFonts w:eastAsia="Times New Roman" w:cs="Times New Roman"/>
                      <w:sz w:val="20"/>
                      <w:szCs w:val="20"/>
                      <w:lang w:eastAsia="lv-LV"/>
                    </w:rPr>
                  </w:pPr>
                  <w:r>
                    <w:rPr>
                      <w:rFonts w:eastAsia="Times New Roman" w:cs="Times New Roman"/>
                      <w:sz w:val="20"/>
                      <w:szCs w:val="20"/>
                      <w:lang w:eastAsia="lv-LV"/>
                    </w:rPr>
                    <w:t>zemesgabala izmantošanas atbilstība teritorijas plānojumam, zemesgabala platība (m</w:t>
                  </w:r>
                  <w:r>
                    <w:rPr>
                      <w:rFonts w:eastAsia="Times New Roman" w:cs="Times New Roman"/>
                      <w:sz w:val="20"/>
                      <w:szCs w:val="20"/>
                      <w:vertAlign w:val="superscript"/>
                      <w:lang w:eastAsia="lv-LV"/>
                    </w:rPr>
                    <w:t>2</w:t>
                  </w:r>
                  <w:r>
                    <w:rPr>
                      <w:rFonts w:eastAsia="Times New Roman" w:cs="Times New Roman"/>
                      <w:sz w:val="20"/>
                      <w:szCs w:val="20"/>
                      <w:lang w:eastAsia="lv-LV"/>
                    </w:rPr>
                    <w:t xml:space="preserve"> – pilsētās, ha – lauku teritorijās)  </w:t>
                  </w:r>
                </w:p>
              </w:tc>
            </w:tr>
            <w:tr w14:paraId="0EEF8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0" w:type="auto"/>
                  <w:gridSpan w:val="2"/>
                  <w:vAlign w:val="center"/>
                </w:tcPr>
                <w:p w14:paraId="4FC1EBA9">
                  <w:pPr>
                    <w:rPr>
                      <w:rFonts w:eastAsia="Times New Roman" w:cs="Times New Roman"/>
                      <w:sz w:val="24"/>
                      <w:szCs w:val="24"/>
                      <w:lang w:eastAsia="lv-LV"/>
                    </w:rPr>
                  </w:pPr>
                  <w:r>
                    <w:rPr>
                      <w:rFonts w:eastAsia="Times New Roman" w:cs="Times New Roman"/>
                      <w:sz w:val="24"/>
                      <w:szCs w:val="24"/>
                      <w:lang w:eastAsia="lv-LV"/>
                    </w:rPr>
                    <w:t xml:space="preserve">Ēka izbūvēta zemesgabalā Meža ielā 1, Rīgā, zemes vienības kadastra apzīmējums 01000610087. Zemesgabala izmantošana atbilst teritorijas plānojumam. </w:t>
                  </w:r>
                </w:p>
                <w:p w14:paraId="5A3DC65C">
                  <w:pPr>
                    <w:jc w:val="center"/>
                    <w:rPr>
                      <w:rFonts w:eastAsia="Times New Roman" w:cs="Times New Roman"/>
                      <w:szCs w:val="28"/>
                      <w:lang w:eastAsia="lv-LV"/>
                    </w:rPr>
                  </w:pPr>
                  <w:r>
                    <w:rPr>
                      <w:rFonts w:eastAsia="Times New Roman" w:cs="Times New Roman"/>
                      <w:szCs w:val="28"/>
                      <w:lang w:eastAsia="lv-LV"/>
                    </w:rPr>
                    <w:drawing>
                      <wp:inline distT="0" distB="0" distL="0" distR="0">
                        <wp:extent cx="3467100" cy="3512820"/>
                        <wp:effectExtent l="0" t="0" r="0" b="0"/>
                        <wp:docPr id="25893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93390" name="Picture 1"/>
                                <pic:cNvPicPr>
                                  <a:picLocks noChangeAspect="1"/>
                                </pic:cNvPicPr>
                              </pic:nvPicPr>
                              <pic:blipFill>
                                <a:blip r:embed="rId9"/>
                                <a:stretch>
                                  <a:fillRect/>
                                </a:stretch>
                              </pic:blipFill>
                              <pic:spPr>
                                <a:xfrm>
                                  <a:off x="0" y="0"/>
                                  <a:ext cx="3467400" cy="3513124"/>
                                </a:xfrm>
                                <a:prstGeom prst="rect">
                                  <a:avLst/>
                                </a:prstGeom>
                              </pic:spPr>
                            </pic:pic>
                          </a:graphicData>
                        </a:graphic>
                      </wp:inline>
                    </w:drawing>
                  </w:r>
                </w:p>
              </w:tc>
            </w:tr>
            <w:tr w14:paraId="4EE3B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500" w:type="pct"/>
                  <w:vAlign w:val="center"/>
                </w:tcPr>
                <w:p w14:paraId="16E6D18D">
                  <w:pPr>
                    <w:rPr>
                      <w:rFonts w:eastAsia="Times New Roman" w:cs="Times New Roman"/>
                      <w:sz w:val="20"/>
                      <w:szCs w:val="20"/>
                      <w:lang w:eastAsia="lv-LV"/>
                    </w:rPr>
                  </w:pPr>
                  <w:r>
                    <w:rPr>
                      <w:rFonts w:eastAsia="Times New Roman" w:cs="Times New Roman"/>
                      <w:sz w:val="20"/>
                      <w:szCs w:val="20"/>
                      <w:lang w:eastAsia="lv-LV"/>
                    </w:rPr>
                    <w:t>2.2.</w:t>
                  </w:r>
                </w:p>
              </w:tc>
              <w:tc>
                <w:tcPr>
                  <w:tcW w:w="0" w:type="auto"/>
                  <w:vAlign w:val="center"/>
                </w:tcPr>
                <w:p w14:paraId="3001C4B2">
                  <w:pPr>
                    <w:rPr>
                      <w:rFonts w:eastAsia="Times New Roman" w:cs="Times New Roman"/>
                      <w:sz w:val="20"/>
                      <w:szCs w:val="20"/>
                      <w:lang w:eastAsia="lv-LV"/>
                    </w:rPr>
                  </w:pPr>
                  <w:r>
                    <w:rPr>
                      <w:rFonts w:eastAsia="Times New Roman" w:cs="Times New Roman"/>
                      <w:sz w:val="20"/>
                      <w:szCs w:val="20"/>
                      <w:lang w:eastAsia="lv-LV"/>
                    </w:rPr>
                    <w:t>būves izvietojums zemesgabalā</w:t>
                  </w:r>
                </w:p>
              </w:tc>
            </w:tr>
            <w:tr w14:paraId="33FF6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0" w:type="auto"/>
                  <w:gridSpan w:val="2"/>
                  <w:vAlign w:val="center"/>
                </w:tcPr>
                <w:p w14:paraId="11C4550C">
                  <w:pPr>
                    <w:rPr>
                      <w:rFonts w:eastAsia="Times New Roman" w:cs="Times New Roman"/>
                      <w:sz w:val="24"/>
                      <w:szCs w:val="24"/>
                      <w:lang w:eastAsia="lv-LV"/>
                    </w:rPr>
                  </w:pPr>
                  <w:r>
                    <w:rPr>
                      <w:rFonts w:eastAsia="Times New Roman" w:cs="Times New Roman"/>
                      <w:sz w:val="24"/>
                      <w:szCs w:val="24"/>
                      <w:lang w:eastAsia="lv-LV"/>
                    </w:rPr>
                    <w:t>Būve izvietota zemesgabala vienā malā, ZR daļā.</w:t>
                  </w:r>
                </w:p>
              </w:tc>
            </w:tr>
            <w:tr w14:paraId="4A9D6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500" w:type="pct"/>
                  <w:vAlign w:val="center"/>
                </w:tcPr>
                <w:p w14:paraId="67B41D98">
                  <w:pPr>
                    <w:rPr>
                      <w:rFonts w:eastAsia="Times New Roman" w:cs="Times New Roman"/>
                      <w:sz w:val="20"/>
                      <w:szCs w:val="20"/>
                      <w:lang w:eastAsia="lv-LV"/>
                    </w:rPr>
                  </w:pPr>
                  <w:r>
                    <w:rPr>
                      <w:rFonts w:eastAsia="Times New Roman" w:cs="Times New Roman"/>
                      <w:sz w:val="20"/>
                      <w:szCs w:val="20"/>
                      <w:lang w:eastAsia="lv-LV"/>
                    </w:rPr>
                    <w:t>2.3.</w:t>
                  </w:r>
                </w:p>
              </w:tc>
              <w:tc>
                <w:tcPr>
                  <w:tcW w:w="0" w:type="auto"/>
                  <w:vAlign w:val="center"/>
                </w:tcPr>
                <w:p w14:paraId="03E02FFB">
                  <w:pPr>
                    <w:rPr>
                      <w:rFonts w:eastAsia="Times New Roman" w:cs="Times New Roman"/>
                      <w:sz w:val="20"/>
                      <w:szCs w:val="20"/>
                      <w:lang w:eastAsia="lv-LV"/>
                    </w:rPr>
                  </w:pPr>
                  <w:r>
                    <w:rPr>
                      <w:rFonts w:eastAsia="Times New Roman" w:cs="Times New Roman"/>
                      <w:sz w:val="20"/>
                      <w:szCs w:val="20"/>
                      <w:lang w:eastAsia="lv-LV"/>
                    </w:rPr>
                    <w:t>būves plānojums</w:t>
                  </w:r>
                </w:p>
              </w:tc>
            </w:tr>
            <w:tr w14:paraId="6D538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0" w:type="auto"/>
                  <w:gridSpan w:val="2"/>
                  <w:vAlign w:val="center"/>
                </w:tcPr>
                <w:p w14:paraId="2B3C6777">
                  <w:pPr>
                    <w:rPr>
                      <w:rFonts w:eastAsia="Times New Roman" w:cs="Times New Roman"/>
                      <w:sz w:val="24"/>
                      <w:szCs w:val="24"/>
                      <w:lang w:eastAsia="lv-LV"/>
                    </w:rPr>
                  </w:pPr>
                  <w:r>
                    <w:rPr>
                      <w:rFonts w:eastAsia="Times New Roman" w:cs="Times New Roman"/>
                      <w:sz w:val="24"/>
                      <w:szCs w:val="24"/>
                      <w:lang w:eastAsia="lv-LV"/>
                    </w:rPr>
                    <w:t>Būve iepriekš tika izmantota kā RTU mācību korpusa ēka. Būves plānojums atbilst tās lietošanas veidam. Ēkā nav nodrošinātas publisku būvju vides pieejamības prasības, atbilstīgi LBN 200- 21 “Būvju vispārīgo prasību būvnormatīvs LBN 200-21” prasībām. Apsekošanas laikā tika konstatētas neatbilstības ēkas plānojumā un kadastrālās uzmērīšanas lietā, papildus 22.06.2006.gada ēkas kadastrālās uzmērīšanas lieta ir veikta atzīme par patvaļīgu būvniecību.</w:t>
                  </w:r>
                </w:p>
                <w:p w14:paraId="13CE5304">
                  <w:pPr>
                    <w:rPr>
                      <w:rFonts w:eastAsia="Times New Roman" w:cs="Times New Roman"/>
                      <w:sz w:val="24"/>
                      <w:szCs w:val="24"/>
                      <w:lang w:eastAsia="lv-LV"/>
                    </w:rPr>
                  </w:pPr>
                  <w:r>
                    <w:rPr>
                      <w:rFonts w:eastAsia="Times New Roman" w:cs="Times New Roman"/>
                      <w:sz w:val="24"/>
                      <w:szCs w:val="24"/>
                      <w:lang w:eastAsia="lv-LV"/>
                    </w:rPr>
                    <w:t>Ēka sākot no 3.stāva uz augšu ir apvienota ar blakus ēku Daugavgrīvas ielā 2, Rīgā. Savienojuma vietā nav izbūvētas ugunsdrošā nodalījuma norobežojošās konstrukcijas.</w:t>
                  </w:r>
                </w:p>
              </w:tc>
            </w:tr>
          </w:tbl>
          <w:p w14:paraId="601B1CDC">
            <w:pPr>
              <w:spacing w:before="100" w:beforeAutospacing="1" w:after="100" w:afterAutospacing="1" w:line="293" w:lineRule="atLeast"/>
              <w:ind w:firstLine="300"/>
              <w:jc w:val="center"/>
              <w:rPr>
                <w:rFonts w:eastAsia="Times New Roman" w:cs="Times New Roman"/>
                <w:b/>
                <w:bCs/>
                <w:szCs w:val="28"/>
                <w:lang w:eastAsia="lv-LV"/>
              </w:rPr>
            </w:pPr>
            <w:r>
              <w:rPr>
                <w:rFonts w:eastAsia="Times New Roman" w:cs="Times New Roman"/>
                <w:b/>
                <w:bCs/>
                <w:szCs w:val="28"/>
                <w:lang w:eastAsia="lv-LV"/>
              </w:rPr>
              <w:t>3. Teritorijas labiekārtojums</w:t>
            </w:r>
          </w:p>
          <w:tbl>
            <w:tblPr>
              <w:tblStyle w:val="4"/>
              <w:tblW w:w="5000" w:type="pct"/>
              <w:tblInd w:w="0" w:type="dxa"/>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Layout w:type="autofit"/>
              <w:tblCellMar>
                <w:top w:w="45" w:type="dxa"/>
                <w:left w:w="45" w:type="dxa"/>
                <w:bottom w:w="45" w:type="dxa"/>
                <w:right w:w="45" w:type="dxa"/>
              </w:tblCellMar>
            </w:tblPr>
            <w:tblGrid>
              <w:gridCol w:w="906"/>
              <w:gridCol w:w="6339"/>
              <w:gridCol w:w="1811"/>
            </w:tblGrid>
            <w:tr w14:paraId="601B1CDF">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2"/>
                  <w:tcBorders>
                    <w:top w:val="outset" w:color="414142" w:sz="6" w:space="0"/>
                    <w:left w:val="outset" w:color="414142" w:sz="6" w:space="0"/>
                    <w:bottom w:val="outset" w:color="414142" w:sz="6" w:space="0"/>
                    <w:right w:val="outset" w:color="414142" w:sz="6" w:space="0"/>
                  </w:tcBorders>
                  <w:vAlign w:val="center"/>
                </w:tcPr>
                <w:p w14:paraId="601B1CDD">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Apsekošanas objekta vai apsekošanas priekšmeta nosaukums. Īss konstatēto bojājumu un to cēloņu apraksts, tehniskā stāvokļa novērtējums atsevišķiem būves elementiem, konstrukciju veidiem, būves daļām. Atbilstība normatīvo aktu prasībām</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CDE">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Tehniskais nolietojums</w:t>
                  </w:r>
                  <w:r>
                    <w:rPr>
                      <w:rFonts w:eastAsia="Times New Roman" w:cs="Times New Roman"/>
                      <w:sz w:val="20"/>
                      <w:szCs w:val="20"/>
                      <w:lang w:eastAsia="lv-LV"/>
                    </w:rPr>
                    <w:br w:type="textWrapping"/>
                  </w:r>
                  <w:r>
                    <w:rPr>
                      <w:rFonts w:eastAsia="Times New Roman" w:cs="Times New Roman"/>
                      <w:sz w:val="20"/>
                      <w:szCs w:val="20"/>
                      <w:lang w:eastAsia="lv-LV"/>
                    </w:rPr>
                    <w:t>(%)</w:t>
                  </w:r>
                </w:p>
              </w:tc>
            </w:tr>
            <w:tr w14:paraId="601B1CE3">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500" w:type="pct"/>
                  <w:tcBorders>
                    <w:top w:val="outset" w:color="414142" w:sz="6" w:space="0"/>
                    <w:left w:val="outset" w:color="414142" w:sz="6" w:space="0"/>
                    <w:bottom w:val="outset" w:color="414142" w:sz="6" w:space="0"/>
                    <w:right w:val="outset" w:color="414142" w:sz="6" w:space="0"/>
                  </w:tcBorders>
                  <w:vAlign w:val="center"/>
                </w:tcPr>
                <w:p w14:paraId="601B1CE0">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3.1.</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CE1">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brauktuves, ietves, celiņi un saimniecības laukumi</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CE2">
                  <w:pPr>
                    <w:jc w:val="center"/>
                    <w:rPr>
                      <w:rFonts w:eastAsia="Times New Roman" w:cs="Times New Roman"/>
                      <w:sz w:val="24"/>
                      <w:szCs w:val="24"/>
                      <w:lang w:eastAsia="lv-LV"/>
                    </w:rPr>
                  </w:pPr>
                  <w:r>
                    <w:rPr>
                      <w:rFonts w:eastAsia="Times New Roman" w:cs="Times New Roman"/>
                      <w:sz w:val="24"/>
                      <w:szCs w:val="24"/>
                      <w:lang w:eastAsia="lv-LV"/>
                    </w:rPr>
                    <w:t>30</w:t>
                  </w:r>
                </w:p>
              </w:tc>
            </w:tr>
            <w:tr w14:paraId="601B1CE5">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601B1CE4">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Pa ēkas perimetru izbūvēts asfaltēts ceļš, kā arī automašīnu stāvlaukums. Piebraukšana ir organizēta no Meža ielas puses. Asfaltētā laukuma tehniskais stāvoklis vērtējams kā apmierinošs, vietām ir konstatēti remontēti seguma laukumiņi, kā arī vietām asfalts ir iesēdies. Skatīt pielikumā foto fiksāciju.</w:t>
                  </w:r>
                </w:p>
              </w:tc>
            </w:tr>
            <w:tr w14:paraId="601B1CE9">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500" w:type="pct"/>
                  <w:tcBorders>
                    <w:top w:val="outset" w:color="414142" w:sz="6" w:space="0"/>
                    <w:left w:val="outset" w:color="414142" w:sz="6" w:space="0"/>
                    <w:bottom w:val="outset" w:color="414142" w:sz="6" w:space="0"/>
                    <w:right w:val="outset" w:color="414142" w:sz="6" w:space="0"/>
                  </w:tcBorders>
                  <w:vAlign w:val="center"/>
                </w:tcPr>
                <w:p w14:paraId="601B1CE6">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3.2.</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CE7">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bērnu rotaļlaukumi, atpūtas laukumi un sporta laukumi</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CE8">
                  <w:pPr>
                    <w:jc w:val="both"/>
                    <w:rPr>
                      <w:rFonts w:eastAsia="Times New Roman" w:cs="Times New Roman"/>
                      <w:szCs w:val="28"/>
                      <w:lang w:eastAsia="lv-LV"/>
                    </w:rPr>
                  </w:pPr>
                </w:p>
              </w:tc>
            </w:tr>
            <w:tr w14:paraId="601B1CEB">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601B1CEA">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Nav</w:t>
                  </w:r>
                </w:p>
              </w:tc>
            </w:tr>
            <w:tr w14:paraId="601B1CEF">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500" w:type="pct"/>
                  <w:tcBorders>
                    <w:top w:val="outset" w:color="414142" w:sz="6" w:space="0"/>
                    <w:left w:val="outset" w:color="414142" w:sz="6" w:space="0"/>
                    <w:bottom w:val="outset" w:color="414142" w:sz="6" w:space="0"/>
                    <w:right w:val="outset" w:color="414142" w:sz="6" w:space="0"/>
                  </w:tcBorders>
                  <w:vAlign w:val="center"/>
                </w:tcPr>
                <w:p w14:paraId="601B1CEC">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3.3.</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CED">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apstādījumi un mazās arhitektūras formas</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CEE">
                  <w:pPr>
                    <w:jc w:val="center"/>
                    <w:rPr>
                      <w:rFonts w:eastAsia="Times New Roman" w:cs="Times New Roman"/>
                      <w:sz w:val="24"/>
                      <w:szCs w:val="24"/>
                      <w:lang w:eastAsia="lv-LV"/>
                    </w:rPr>
                  </w:pPr>
                  <w:r>
                    <w:rPr>
                      <w:rFonts w:eastAsia="Times New Roman" w:cs="Times New Roman"/>
                      <w:sz w:val="24"/>
                      <w:szCs w:val="24"/>
                      <w:lang w:eastAsia="lv-LV"/>
                    </w:rPr>
                    <w:t>30</w:t>
                  </w:r>
                </w:p>
              </w:tc>
            </w:tr>
            <w:tr w14:paraId="601B1CF1">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601B1CF0">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Zemesgabalā ap asfaltēto ceļu un stāvlaukumu ir izveidots zāliens un apstādījumi, dažādi krūmi un lieli koki.</w:t>
                  </w:r>
                </w:p>
              </w:tc>
            </w:tr>
            <w:tr w14:paraId="601B1CF5">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500" w:type="pct"/>
                  <w:tcBorders>
                    <w:top w:val="outset" w:color="414142" w:sz="6" w:space="0"/>
                    <w:left w:val="outset" w:color="414142" w:sz="6" w:space="0"/>
                    <w:bottom w:val="outset" w:color="414142" w:sz="6" w:space="0"/>
                    <w:right w:val="outset" w:color="414142" w:sz="6" w:space="0"/>
                  </w:tcBorders>
                  <w:vAlign w:val="center"/>
                </w:tcPr>
                <w:p w14:paraId="601B1CF2">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3.4.</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CF3">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nožogojums un atbalsta sienas</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CF4">
                  <w:pPr>
                    <w:jc w:val="center"/>
                    <w:rPr>
                      <w:rFonts w:eastAsia="Times New Roman" w:cs="Times New Roman"/>
                      <w:sz w:val="24"/>
                      <w:szCs w:val="24"/>
                      <w:lang w:eastAsia="lv-LV"/>
                    </w:rPr>
                  </w:pPr>
                  <w:r>
                    <w:rPr>
                      <w:rFonts w:eastAsia="Times New Roman" w:cs="Times New Roman"/>
                      <w:sz w:val="24"/>
                      <w:szCs w:val="24"/>
                      <w:lang w:eastAsia="lv-LV"/>
                    </w:rPr>
                    <w:t>30</w:t>
                  </w:r>
                </w:p>
              </w:tc>
            </w:tr>
            <w:tr w14:paraId="601B1CF7">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601B1CF6">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Gar Sētas ielas ieeju teritorijā ir izbūvēts tērauda žogs. Žoga konstrukcijas tehniskais stāvoklis vērtējams kā labs.  Skatīt pielikumā foto fiksāciju.</w:t>
                  </w:r>
                </w:p>
              </w:tc>
            </w:tr>
          </w:tbl>
          <w:p w14:paraId="601B1CF8">
            <w:pPr>
              <w:jc w:val="center"/>
              <w:rPr>
                <w:rFonts w:eastAsia="Times New Roman" w:cs="Times New Roman"/>
                <w:b/>
                <w:bCs/>
                <w:szCs w:val="28"/>
                <w:lang w:eastAsia="lv-LV"/>
              </w:rPr>
            </w:pPr>
          </w:p>
          <w:p w14:paraId="601B1CF9">
            <w:pPr>
              <w:jc w:val="center"/>
              <w:rPr>
                <w:rFonts w:eastAsia="Times New Roman" w:cs="Times New Roman"/>
                <w:b/>
                <w:bCs/>
                <w:szCs w:val="28"/>
                <w:lang w:eastAsia="lv-LV"/>
              </w:rPr>
            </w:pPr>
            <w:r>
              <w:rPr>
                <w:rFonts w:eastAsia="Times New Roman" w:cs="Times New Roman"/>
                <w:b/>
                <w:bCs/>
                <w:szCs w:val="28"/>
                <w:lang w:eastAsia="lv-LV"/>
              </w:rPr>
              <w:t>4. Būves daļas</w:t>
            </w:r>
          </w:p>
          <w:p w14:paraId="601B1CFA">
            <w:pPr>
              <w:jc w:val="center"/>
              <w:rPr>
                <w:rFonts w:eastAsia="Times New Roman" w:cs="Times New Roman"/>
                <w:sz w:val="24"/>
                <w:szCs w:val="24"/>
                <w:lang w:eastAsia="lv-LV"/>
              </w:rPr>
            </w:pPr>
            <w:r>
              <w:rPr>
                <w:rFonts w:eastAsia="Times New Roman" w:cs="Times New Roman"/>
                <w:sz w:val="24"/>
                <w:szCs w:val="24"/>
                <w:lang w:eastAsia="lv-LV"/>
              </w:rPr>
              <w:t>(Ietver tikai tās būves daļas, kas apsekotas atbilstoši apsekošanas uzdevumam)</w:t>
            </w:r>
          </w:p>
          <w:p w14:paraId="601B1CFB">
            <w:pPr>
              <w:jc w:val="center"/>
              <w:rPr>
                <w:rFonts w:eastAsia="Times New Roman" w:cs="Times New Roman"/>
                <w:szCs w:val="28"/>
                <w:lang w:eastAsia="lv-LV"/>
              </w:rPr>
            </w:pPr>
          </w:p>
          <w:tbl>
            <w:tblPr>
              <w:tblStyle w:val="4"/>
              <w:tblW w:w="5000" w:type="pct"/>
              <w:tblInd w:w="0" w:type="dxa"/>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Layout w:type="autofit"/>
              <w:tblCellMar>
                <w:top w:w="45" w:type="dxa"/>
                <w:left w:w="45" w:type="dxa"/>
                <w:bottom w:w="45" w:type="dxa"/>
                <w:right w:w="45" w:type="dxa"/>
              </w:tblCellMar>
            </w:tblPr>
            <w:tblGrid>
              <w:gridCol w:w="906"/>
              <w:gridCol w:w="6339"/>
              <w:gridCol w:w="1811"/>
            </w:tblGrid>
            <w:tr w14:paraId="601B1CFE">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2"/>
                  <w:tcBorders>
                    <w:top w:val="outset" w:color="414142" w:sz="6" w:space="0"/>
                    <w:left w:val="outset" w:color="414142" w:sz="6" w:space="0"/>
                    <w:bottom w:val="outset" w:color="414142" w:sz="6" w:space="0"/>
                    <w:right w:val="outset" w:color="414142" w:sz="6" w:space="0"/>
                  </w:tcBorders>
                  <w:vAlign w:val="center"/>
                </w:tcPr>
                <w:p w14:paraId="601B1CFC">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Apsekošanas objekta vai apsekošanas priekšmeta nosaukums. Īss konstatēto bojājumu un to cēloņu apraksts, tehniskā stāvokļa novērtējums atsevišķiem būves elementiem, konstrukciju veidiem, būves daļām. Atbilstība normatīvo aktu prasībām</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CFD">
                  <w:pPr>
                    <w:spacing w:before="100" w:beforeAutospacing="1" w:after="100" w:afterAutospacing="1" w:line="293" w:lineRule="atLeast"/>
                    <w:jc w:val="center"/>
                    <w:rPr>
                      <w:rFonts w:eastAsia="Times New Roman" w:cs="Times New Roman"/>
                      <w:sz w:val="20"/>
                      <w:szCs w:val="20"/>
                      <w:lang w:eastAsia="lv-LV"/>
                    </w:rPr>
                  </w:pPr>
                  <w:r>
                    <w:rPr>
                      <w:rFonts w:eastAsia="Times New Roman" w:cs="Times New Roman"/>
                      <w:sz w:val="20"/>
                      <w:szCs w:val="20"/>
                      <w:lang w:eastAsia="lv-LV"/>
                    </w:rPr>
                    <w:t>Tehniskais nolietojums</w:t>
                  </w:r>
                  <w:r>
                    <w:rPr>
                      <w:rFonts w:eastAsia="Times New Roman" w:cs="Times New Roman"/>
                      <w:sz w:val="20"/>
                      <w:szCs w:val="20"/>
                      <w:lang w:eastAsia="lv-LV"/>
                    </w:rPr>
                    <w:br w:type="textWrapping"/>
                  </w:r>
                  <w:r>
                    <w:rPr>
                      <w:rFonts w:eastAsia="Times New Roman" w:cs="Times New Roman"/>
                      <w:sz w:val="20"/>
                      <w:szCs w:val="20"/>
                      <w:lang w:eastAsia="lv-LV"/>
                    </w:rPr>
                    <w:t>(%)</w:t>
                  </w:r>
                </w:p>
              </w:tc>
            </w:tr>
            <w:tr w14:paraId="601B1D02">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500" w:type="pct"/>
                  <w:tcBorders>
                    <w:top w:val="outset" w:color="414142" w:sz="6" w:space="0"/>
                    <w:left w:val="outset" w:color="414142" w:sz="6" w:space="0"/>
                    <w:bottom w:val="outset" w:color="414142" w:sz="6" w:space="0"/>
                    <w:right w:val="outset" w:color="414142" w:sz="6" w:space="0"/>
                  </w:tcBorders>
                  <w:vAlign w:val="center"/>
                </w:tcPr>
                <w:p w14:paraId="601B1CFF">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4.1.</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00">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pamati un pamatne</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01">
                  <w:pPr>
                    <w:jc w:val="center"/>
                    <w:rPr>
                      <w:rFonts w:eastAsia="Times New Roman" w:cs="Times New Roman"/>
                      <w:sz w:val="24"/>
                      <w:szCs w:val="24"/>
                      <w:lang w:eastAsia="lv-LV"/>
                    </w:rPr>
                  </w:pPr>
                  <w:r>
                    <w:rPr>
                      <w:rFonts w:eastAsia="Times New Roman" w:cs="Times New Roman"/>
                      <w:sz w:val="24"/>
                      <w:szCs w:val="24"/>
                      <w:lang w:eastAsia="lv-LV"/>
                    </w:rPr>
                    <w:t>15-50</w:t>
                  </w:r>
                </w:p>
              </w:tc>
            </w:tr>
            <w:tr w14:paraId="601B1D04">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05181085">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Apsekošanas laikā pamati netika atrakti. Ēkas pamatnes (pamatnes un esošo pamatu) ģeotehniskā izpēte šajos pētījumos nav veikta. Vizuāli apsekojot ēkas pamatus pagraba daļā, tika konstatēts, ka to konstrukcijas atbilst ar kadastrālās uzmērīšanas lietā norādītajam- ēkai ir dzelzsbetona pamati. Pagraba stāva telpas ir ar pilnu vai daļēju apdari. Pagraba sienās un pārsegumā nav redzamu plaisu, kas liecina,. Ēkas pagraba sienas ir bojātas mitruma ietekmē, kas liecina, ka ēkas pamatu hidroizolācija ir bojāta. Papildus apsekošanas laikā netika konstatētas pazīmes (attiecīgas formas un izvietojuma plaisas, kā arī citas deformācijas), kas liecinātu par pamatnes nestspējas nepietiekamību, līdz ar to, pamatnes un pamatu nestspēja ir pietiekoša konstrukciju un ekspluatācijas slodžu uzņemšanai. Pamatu kopējais tehniskais stāvoklis ir vērtējams kā apmierinošs un atbilstošs Būvniecības likuma 9.panta 2.punkta 1.prasībai ‘’mehāniskā stiprība un stabilitāte’’. Skatīt pielikumā Nr.1 foto.</w:t>
                  </w:r>
                </w:p>
                <w:p w14:paraId="601B1D03">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Kopumā pamatu un pamatnes tehniskais stāvoklis vērtējams kā labs.</w:t>
                  </w:r>
                </w:p>
              </w:tc>
            </w:tr>
            <w:tr w14:paraId="601B1D08">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500" w:type="pct"/>
                  <w:tcBorders>
                    <w:top w:val="outset" w:color="414142" w:sz="6" w:space="0"/>
                    <w:left w:val="outset" w:color="414142" w:sz="6" w:space="0"/>
                    <w:bottom w:val="outset" w:color="414142" w:sz="6" w:space="0"/>
                    <w:right w:val="outset" w:color="414142" w:sz="6" w:space="0"/>
                  </w:tcBorders>
                  <w:vAlign w:val="center"/>
                </w:tcPr>
                <w:p w14:paraId="601B1D05">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4.2.</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06">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nesošās sienas, ailu sijas un pārsedzes</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07">
                  <w:pPr>
                    <w:jc w:val="center"/>
                    <w:rPr>
                      <w:rFonts w:eastAsia="Times New Roman" w:cs="Times New Roman"/>
                      <w:sz w:val="24"/>
                      <w:szCs w:val="24"/>
                      <w:lang w:eastAsia="lv-LV"/>
                    </w:rPr>
                  </w:pPr>
                  <w:r>
                    <w:rPr>
                      <w:rFonts w:eastAsia="Times New Roman" w:cs="Times New Roman"/>
                      <w:sz w:val="24"/>
                      <w:szCs w:val="24"/>
                      <w:lang w:eastAsia="lv-LV"/>
                    </w:rPr>
                    <w:t>15</w:t>
                  </w:r>
                </w:p>
              </w:tc>
            </w:tr>
            <w:tr w14:paraId="601B1D0A">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289486E5">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 xml:space="preserve"> Ēka ir veidota, kā dzelzsbetona karkasa būve (kolonnu šķērsizmērs 400x400mm, rīģeļi 250x450mm ar konsolēm pārsegumu balstīšanai un pārseguma paneļi 250mm augstumā) ar ķieģeļu mūra nesošām sienām 510mm un 250mm biezumā. Ēkā ir izbūvētas dzelzsbetona ailu pārsedzes atbilstoši sienas biezumam. Vienā vietā ir konstatēti ailu pārsedzes bojājumi klimatisko apstākļu ietekmē. Apsekošanas laikā netika konstatētas pazīmes (attiecīgas formas un izvietojuma plaisas, kā arī citas deformācijas), kas liecinātu par nesošo sienu un aiļu pārsedžu nestspējas trūkumu. Pagalma fasādes sienās ir konstatētas plaisas, kuru forma un izvietojums liecina par to, ka tās ir radušās mehānisku bojājumu ietekmē. Izvērtējot plaisu izvietojumu secināms, ka tās neietekmē kopējo fasādes sienu nestspēju. Nesošo sienu kopējais tehniskais stāvoklis ir vērtējams kā apmierinošs un atbilstošs Būvniecības likuma 9.panta 2.punkta 1.prasībai ‘’mehāniskā stiprība un stabilitāte’’.</w:t>
                  </w:r>
                </w:p>
                <w:p w14:paraId="601B1D09">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Kopumā nesošo sienu tehniskais stāvoklis vērtējams kā labs.</w:t>
                  </w:r>
                </w:p>
              </w:tc>
            </w:tr>
            <w:tr w14:paraId="601B1D0E">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0B">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4.3.</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0C">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karkasa elementi: kolonnas, rīģeļi un sijas</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0D">
                  <w:pPr>
                    <w:jc w:val="center"/>
                    <w:rPr>
                      <w:rFonts w:eastAsia="Times New Roman" w:cs="Times New Roman"/>
                      <w:sz w:val="24"/>
                      <w:szCs w:val="24"/>
                      <w:lang w:eastAsia="lv-LV"/>
                    </w:rPr>
                  </w:pPr>
                  <w:r>
                    <w:rPr>
                      <w:rFonts w:eastAsia="Times New Roman" w:cs="Times New Roman"/>
                      <w:sz w:val="24"/>
                      <w:szCs w:val="24"/>
                      <w:lang w:eastAsia="lv-LV"/>
                    </w:rPr>
                    <w:t>15</w:t>
                  </w:r>
                </w:p>
              </w:tc>
            </w:tr>
            <w:tr w14:paraId="601B1D10">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0A09BFB4">
                  <w:pPr>
                    <w:spacing w:before="100" w:beforeAutospacing="1" w:after="100" w:afterAutospacing="1" w:line="293" w:lineRule="atLeast"/>
                    <w:rPr>
                      <w:rFonts w:eastAsia="Times New Roman" w:cs="Times New Roman"/>
                      <w:sz w:val="24"/>
                      <w:szCs w:val="24"/>
                      <w:lang w:eastAsia="lv-LV"/>
                    </w:rPr>
                  </w:pPr>
                  <w:r>
                    <w:rPr>
                      <w:rFonts w:eastAsia="Times New Roman" w:cs="Times New Roman"/>
                      <w:sz w:val="24"/>
                      <w:szCs w:val="24"/>
                      <w:lang w:eastAsia="lv-LV"/>
                    </w:rPr>
                    <w:t>Karkasa kolonnas (kolonnu šķērsizmērs 400x400mm) izvietotas daļēji pa ēkas perimetru un vidus daļā, kas savā starpā, ēkas šķērsvirzienā savienotas ar dzelzsbetona sijām (rīģeļi 250x450mm ar konsolēm pārsegumu balstīšanai). Vizuāli apsekojot, netika konstatētas plaisas, vai cita veida deformācijas. Skatīt pielikumā Nr.1. foto fiksāciju.</w:t>
                  </w:r>
                </w:p>
                <w:p w14:paraId="601B1D0F">
                  <w:pPr>
                    <w:spacing w:before="100" w:beforeAutospacing="1" w:after="100" w:afterAutospacing="1" w:line="293" w:lineRule="atLeast"/>
                    <w:rPr>
                      <w:rFonts w:eastAsia="Times New Roman" w:cs="Times New Roman"/>
                      <w:sz w:val="24"/>
                      <w:szCs w:val="24"/>
                      <w:lang w:eastAsia="lv-LV"/>
                    </w:rPr>
                  </w:pPr>
                  <w:r>
                    <w:rPr>
                      <w:rFonts w:eastAsia="Times New Roman" w:cs="Times New Roman"/>
                      <w:sz w:val="24"/>
                      <w:szCs w:val="24"/>
                      <w:lang w:eastAsia="lv-LV"/>
                    </w:rPr>
                    <w:t>Kopējais karkasu elementu tehniskais stāvoklis vērtējams kā labs.</w:t>
                  </w:r>
                </w:p>
              </w:tc>
            </w:tr>
            <w:tr w14:paraId="601B1D14">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11">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4.4.</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12">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pašnesošās sienas</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13">
                  <w:pPr>
                    <w:jc w:val="center"/>
                    <w:rPr>
                      <w:rFonts w:eastAsia="Times New Roman" w:cs="Times New Roman"/>
                      <w:sz w:val="24"/>
                      <w:szCs w:val="24"/>
                      <w:lang w:eastAsia="lv-LV"/>
                    </w:rPr>
                  </w:pPr>
                  <w:r>
                    <w:rPr>
                      <w:rFonts w:eastAsia="Times New Roman" w:cs="Times New Roman"/>
                      <w:sz w:val="24"/>
                      <w:szCs w:val="24"/>
                      <w:lang w:eastAsia="lv-LV"/>
                    </w:rPr>
                    <w:t>20</w:t>
                  </w:r>
                </w:p>
              </w:tc>
            </w:tr>
            <w:tr w14:paraId="601B1D16">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257FE061">
                  <w:pPr>
                    <w:spacing w:before="100" w:beforeAutospacing="1" w:after="100" w:afterAutospacing="1" w:line="293" w:lineRule="atLeast"/>
                    <w:rPr>
                      <w:rFonts w:eastAsia="Times New Roman" w:cs="Times New Roman"/>
                      <w:sz w:val="24"/>
                      <w:szCs w:val="24"/>
                      <w:lang w:eastAsia="lv-LV"/>
                    </w:rPr>
                  </w:pPr>
                  <w:r>
                    <w:rPr>
                      <w:rFonts w:eastAsia="Times New Roman" w:cs="Times New Roman"/>
                      <w:sz w:val="24"/>
                      <w:szCs w:val="24"/>
                      <w:lang w:eastAsia="lv-LV"/>
                    </w:rPr>
                    <w:t>Pašnesošās sienas ēkā veidotas no ķieģeļu mūra biezumā no 150mm līdz 250mm un ģipškartona konstrukcijas, vizuāli apsekojot, netika konstatētas būtiskas plaisas vai cita veida deformācijas, kas ietekmētu konstrukcijas kopējo nestspēju.</w:t>
                  </w:r>
                </w:p>
                <w:p w14:paraId="1E1679C3">
                  <w:pPr>
                    <w:spacing w:before="100" w:beforeAutospacing="1" w:after="100" w:afterAutospacing="1" w:line="293" w:lineRule="atLeast"/>
                    <w:rPr>
                      <w:rFonts w:eastAsia="Times New Roman" w:cs="Times New Roman"/>
                      <w:sz w:val="24"/>
                      <w:szCs w:val="24"/>
                      <w:lang w:eastAsia="lv-LV"/>
                    </w:rPr>
                  </w:pPr>
                  <w:r>
                    <w:rPr>
                      <w:rFonts w:eastAsia="Times New Roman" w:cs="Times New Roman"/>
                      <w:sz w:val="24"/>
                      <w:szCs w:val="24"/>
                      <w:lang w:eastAsia="lv-LV"/>
                    </w:rPr>
                    <w:t>Pašnesošo sienu konstrukciju stāvoklis, vērtējams kā apmierinošs.</w:t>
                  </w:r>
                </w:p>
                <w:p w14:paraId="601B1D15">
                  <w:pPr>
                    <w:spacing w:before="100" w:beforeAutospacing="1" w:after="100" w:afterAutospacing="1" w:line="293" w:lineRule="atLeast"/>
                    <w:rPr>
                      <w:rFonts w:eastAsia="Times New Roman" w:cs="Times New Roman"/>
                      <w:szCs w:val="28"/>
                      <w:lang w:eastAsia="lv-LV"/>
                    </w:rPr>
                  </w:pPr>
                </w:p>
              </w:tc>
            </w:tr>
            <w:tr w14:paraId="601B1D1A">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17">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4.5.</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18">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šuvju hermetizācija, hidroizolācija un siltumizolācija</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19">
                  <w:pPr>
                    <w:jc w:val="center"/>
                    <w:rPr>
                      <w:rFonts w:eastAsia="Times New Roman" w:cs="Times New Roman"/>
                      <w:sz w:val="24"/>
                      <w:szCs w:val="24"/>
                      <w:lang w:eastAsia="lv-LV"/>
                    </w:rPr>
                  </w:pPr>
                  <w:r>
                    <w:rPr>
                      <w:rFonts w:eastAsia="Times New Roman" w:cs="Times New Roman"/>
                      <w:sz w:val="24"/>
                      <w:szCs w:val="24"/>
                      <w:lang w:eastAsia="lv-LV"/>
                    </w:rPr>
                    <w:t>40</w:t>
                  </w:r>
                </w:p>
              </w:tc>
            </w:tr>
            <w:tr w14:paraId="601B1D1C">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rPr>
                <w:trHeight w:val="304" w:hRule="atLeast"/>
              </w:trPr>
              <w:tc>
                <w:tcPr>
                  <w:tcW w:w="0" w:type="auto"/>
                  <w:gridSpan w:val="3"/>
                  <w:tcBorders>
                    <w:top w:val="outset" w:color="414142" w:sz="6" w:space="0"/>
                    <w:left w:val="outset" w:color="414142" w:sz="6" w:space="0"/>
                    <w:bottom w:val="outset" w:color="414142" w:sz="6" w:space="0"/>
                    <w:right w:val="outset" w:color="414142" w:sz="6" w:space="0"/>
                  </w:tcBorders>
                  <w:vAlign w:val="center"/>
                </w:tcPr>
                <w:p w14:paraId="27A6A203">
                  <w:pPr>
                    <w:rPr>
                      <w:rFonts w:eastAsia="Times New Roman" w:cs="Times New Roman"/>
                      <w:sz w:val="24"/>
                      <w:szCs w:val="24"/>
                      <w:lang w:eastAsia="lv-LV"/>
                    </w:rPr>
                  </w:pPr>
                  <w:r>
                    <w:rPr>
                      <w:rFonts w:eastAsia="Times New Roman" w:cs="Times New Roman"/>
                      <w:sz w:val="24"/>
                      <w:szCs w:val="24"/>
                      <w:lang w:eastAsia="lv-LV"/>
                    </w:rPr>
                    <w:t>Ēkas pagrabstāvā ir konstatēti apdares bojājumi, kas ir radušies mitruma ietekmē, pamatu konstrukcijas hidroizolācija ir bojāta.</w:t>
                  </w:r>
                </w:p>
                <w:p w14:paraId="710A3719">
                  <w:pPr>
                    <w:rPr>
                      <w:rFonts w:eastAsia="Times New Roman" w:cs="Times New Roman"/>
                      <w:sz w:val="24"/>
                      <w:szCs w:val="24"/>
                      <w:lang w:eastAsia="lv-LV"/>
                    </w:rPr>
                  </w:pPr>
                  <w:r>
                    <w:rPr>
                      <w:rFonts w:eastAsia="Times New Roman" w:cs="Times New Roman"/>
                      <w:sz w:val="24"/>
                      <w:szCs w:val="24"/>
                      <w:lang w:eastAsia="lv-LV"/>
                    </w:rPr>
                    <w:t>Ēkas ārsienas nav siltinātas. Ēkas energoefektivitātes sertifikāts (bez numura) izstrādāts 21.04.2015.</w:t>
                  </w:r>
                </w:p>
                <w:p w14:paraId="317DF476">
                  <w:pPr>
                    <w:rPr>
                      <w:rFonts w:eastAsia="Times New Roman" w:cs="Times New Roman"/>
                      <w:sz w:val="24"/>
                      <w:szCs w:val="24"/>
                      <w:lang w:eastAsia="lv-LV"/>
                    </w:rPr>
                  </w:pPr>
                  <w:r>
                    <w:rPr>
                      <w:rFonts w:eastAsia="Times New Roman" w:cs="Times New Roman"/>
                      <w:sz w:val="24"/>
                      <w:szCs w:val="24"/>
                      <w:lang w:eastAsia="lv-LV"/>
                    </w:rPr>
                    <w:t>Ēkas norobežojošās konstrukcijas neatbilst 25.06.2019. Ministru kabineta noteikumu Nr. 280</w:t>
                  </w:r>
                  <w:r>
                    <w:rPr>
                      <w:rFonts w:eastAsia="Times New Roman" w:cs="Times New Roman"/>
                      <w:sz w:val="24"/>
                      <w:szCs w:val="24"/>
                      <w:lang w:eastAsia="lv-LV"/>
                    </w:rPr>
                    <w:br w:type="textWrapping"/>
                  </w:r>
                  <w:r>
                    <w:rPr>
                      <w:rFonts w:eastAsia="Times New Roman" w:cs="Times New Roman"/>
                      <w:sz w:val="24"/>
                      <w:szCs w:val="24"/>
                      <w:lang w:eastAsia="lv-LV"/>
                    </w:rPr>
                    <w:t>“Noteikumi par Latvijas būvnormatīvu LBN 002-19 "Ēku norobežojošo konstrukciju siltumtehnika"” prasībām.</w:t>
                  </w:r>
                </w:p>
                <w:p w14:paraId="601B1D1B">
                  <w:pPr>
                    <w:rPr>
                      <w:rFonts w:eastAsia="Times New Roman" w:cs="Times New Roman"/>
                      <w:sz w:val="24"/>
                      <w:szCs w:val="24"/>
                      <w:lang w:eastAsia="lv-LV"/>
                    </w:rPr>
                  </w:pPr>
                </w:p>
              </w:tc>
            </w:tr>
            <w:tr w14:paraId="601B1D20">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1D">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4.6.</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1E">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pagraba, starpstāvu, bēniņu pārsegumi</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1F">
                  <w:pPr>
                    <w:jc w:val="center"/>
                    <w:rPr>
                      <w:rFonts w:eastAsia="Times New Roman" w:cs="Times New Roman"/>
                      <w:sz w:val="24"/>
                      <w:szCs w:val="24"/>
                      <w:lang w:eastAsia="lv-LV"/>
                    </w:rPr>
                  </w:pPr>
                  <w:r>
                    <w:rPr>
                      <w:rFonts w:eastAsia="Times New Roman" w:cs="Times New Roman"/>
                      <w:sz w:val="24"/>
                      <w:szCs w:val="24"/>
                      <w:lang w:eastAsia="lv-LV"/>
                    </w:rPr>
                    <w:t>20</w:t>
                  </w:r>
                </w:p>
              </w:tc>
            </w:tr>
            <w:tr w14:paraId="601B1D22">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01D39DA0">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Ēkas pārsegumi ir no dzelzsbetona. Pagraba un starpstāvu pārsegumi veidoti no saliekamiem dzelzsbetona pārseguma paneļiem. Apsekošanas brīdī netika konstatētas plaisas vai cita veida deformācijas. Papildus netika konstatēti mehāniski bojājumi, kas ietekmētu pārseguma konstrukciju nestspēju, līdz ar to dzelzsbetona pārseguma  paneļu kopējais tehniskais stāvoklis ir vērtējams kā apmierinošs un atbilstošs Būvniecības likuma 9.panta 2.punkta 1.prasībai ‘’mehāniskā stiprība un stabilitāte’’.</w:t>
                  </w:r>
                </w:p>
                <w:p w14:paraId="601B1D21">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 xml:space="preserve">Ēkas pagraba, starpstāvu un bēniņu pārsegumu tehniskais stāvoklis vērtējams kā labs. </w:t>
                  </w:r>
                </w:p>
              </w:tc>
            </w:tr>
            <w:tr w14:paraId="601B1D26">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23">
                  <w:pPr>
                    <w:spacing w:before="100" w:beforeAutospacing="1" w:after="100" w:afterAutospacing="1" w:line="293" w:lineRule="atLeast"/>
                    <w:rPr>
                      <w:rFonts w:eastAsia="Times New Roman" w:cs="Times New Roman"/>
                      <w:sz w:val="24"/>
                      <w:szCs w:val="24"/>
                      <w:lang w:eastAsia="lv-LV"/>
                    </w:rPr>
                  </w:pPr>
                  <w:r>
                    <w:rPr>
                      <w:rFonts w:eastAsia="Times New Roman" w:cs="Times New Roman"/>
                      <w:sz w:val="20"/>
                      <w:szCs w:val="20"/>
                      <w:lang w:eastAsia="lv-LV"/>
                    </w:rPr>
                    <w:t>4.7.</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24">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būves telpiskās noturības elementi</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25">
                  <w:pPr>
                    <w:jc w:val="both"/>
                    <w:rPr>
                      <w:rFonts w:eastAsia="Times New Roman" w:cs="Times New Roman"/>
                      <w:sz w:val="20"/>
                      <w:szCs w:val="20"/>
                      <w:lang w:eastAsia="lv-LV"/>
                    </w:rPr>
                  </w:pPr>
                  <w:r>
                    <w:rPr>
                      <w:rFonts w:eastAsia="Times New Roman" w:cs="Times New Roman"/>
                      <w:sz w:val="20"/>
                      <w:szCs w:val="20"/>
                      <w:lang w:eastAsia="lv-LV"/>
                    </w:rPr>
                    <w:t>-</w:t>
                  </w:r>
                </w:p>
              </w:tc>
            </w:tr>
            <w:tr w14:paraId="601B1D28">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601B1D27">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Ēkas telpisko noturību nodrošina ēkas karkasa elementi un mūra sienas. Pazīmes, kas liecinātu par telpiskās noturības trūkumu nav konstatēti.</w:t>
                  </w:r>
                </w:p>
              </w:tc>
            </w:tr>
            <w:tr w14:paraId="601B1D2C">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29">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4.8.</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2A">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jumta elementi: nesošā konstrukcija, jumta klājs, jumta segums, lietusūdens novadsistēma</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2B">
                  <w:pPr>
                    <w:jc w:val="center"/>
                    <w:rPr>
                      <w:rFonts w:eastAsia="Times New Roman" w:cs="Times New Roman"/>
                      <w:sz w:val="24"/>
                      <w:szCs w:val="24"/>
                      <w:lang w:eastAsia="lv-LV"/>
                    </w:rPr>
                  </w:pPr>
                  <w:r>
                    <w:rPr>
                      <w:rFonts w:eastAsia="Times New Roman" w:cs="Times New Roman"/>
                      <w:sz w:val="24"/>
                      <w:szCs w:val="24"/>
                      <w:lang w:eastAsia="lv-LV"/>
                    </w:rPr>
                    <w:t>15 (kostrukcija); 25 (segums)</w:t>
                  </w:r>
                </w:p>
              </w:tc>
            </w:tr>
            <w:tr w14:paraId="601B1D2E">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08D7B4C4">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 xml:space="preserve">Ēkas jumta nesošā konstrukcija ir izbūvēta kā koka elementu telpiska konstrukcija (koka spāres balstītas uz koka konstrukciju “krēsliem”. Koka konstrukciju tehniskais stāvoklis vērtējams kā labs, ir konstatēti nebūtiski notecējumi. Koka konstrukcijas ir apstrādātas ar antipirēnu. Lietusūdens novadsistēma veidota ar ārējiem lietus kanalizācijas stāvvadiem/ renēm, kas izvietoti pa ēkas garenfasādes sienām. Jumta segums ir izbūvēts no viļņotā skārda, kas balstās uz koka dēļu latojuma. Vietām ir konstatētas jumta seguma nolietojuma pazīmes (stiprinājuma vietās parādās rūsa), līdz ar to tuvākajā laikā prognozējama lietus ūdens nokļūšana konstrukcijā, kas var veicināt  jumta nesošās konstrukcijas bojāšanos, skatīt pielikumā Nr.1. foto fiksāciju. </w:t>
                  </w:r>
                </w:p>
                <w:p w14:paraId="64075591">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Uz jumta ir uzstādīta mobilo skaru antena.</w:t>
                  </w:r>
                </w:p>
                <w:p w14:paraId="601B1D2D">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Kopējais jumta konstrukcijas, seguma un lietusūdens novadsistēmas tehniskais stāvoklis vērtējams kā apmierinošs.</w:t>
                  </w:r>
                </w:p>
              </w:tc>
            </w:tr>
            <w:tr w14:paraId="601B1D32">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2F">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4.9.</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30">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balkoni, lodžijas, lieveņi, jumtiņi</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31">
                  <w:pPr>
                    <w:jc w:val="center"/>
                    <w:rPr>
                      <w:rFonts w:eastAsia="Times New Roman" w:cs="Times New Roman"/>
                      <w:sz w:val="24"/>
                      <w:szCs w:val="24"/>
                      <w:lang w:eastAsia="lv-LV"/>
                    </w:rPr>
                  </w:pPr>
                  <w:r>
                    <w:rPr>
                      <w:rFonts w:eastAsia="Times New Roman" w:cs="Times New Roman"/>
                      <w:sz w:val="24"/>
                      <w:szCs w:val="24"/>
                      <w:lang w:eastAsia="lv-LV"/>
                    </w:rPr>
                    <w:t>20</w:t>
                  </w:r>
                </w:p>
              </w:tc>
            </w:tr>
            <w:tr w14:paraId="601B1D34">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rPr>
                <w:trHeight w:val="367" w:hRule="atLeast"/>
              </w:trPr>
              <w:tc>
                <w:tcPr>
                  <w:tcW w:w="0" w:type="auto"/>
                  <w:gridSpan w:val="3"/>
                  <w:tcBorders>
                    <w:top w:val="outset" w:color="414142" w:sz="6" w:space="0"/>
                    <w:left w:val="outset" w:color="414142" w:sz="6" w:space="0"/>
                    <w:bottom w:val="outset" w:color="414142" w:sz="6" w:space="0"/>
                    <w:right w:val="outset" w:color="414142" w:sz="6" w:space="0"/>
                  </w:tcBorders>
                  <w:vAlign w:val="center"/>
                </w:tcPr>
                <w:p w14:paraId="1B8BDDCF">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 xml:space="preserve">Pie ieejām ēkā izbūvēti lieveņi ar pakāpieniem un jumtiņu. Lieveņi izbūvēti bez apdares. </w:t>
                  </w:r>
                </w:p>
                <w:p w14:paraId="0C86DB81">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Pa ēkas perimetru iz izbūvētas atbalsta sienu virsgaismu konstrukcijas, kas daļēji ir nosegtas ar metāla restēm. Konstrukciju tehniskais stāvoklis vērtējams kā apmierinošs.</w:t>
                  </w:r>
                </w:p>
                <w:p w14:paraId="764D3255">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Skatīt pielikumā Nr.1. foto fiksāciju</w:t>
                  </w:r>
                </w:p>
                <w:p w14:paraId="601B1D33">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 xml:space="preserve"> Lieveņu konstrukciju tehniskais stāvoklis vērtējams, kā apmierinošs. </w:t>
                  </w:r>
                </w:p>
              </w:tc>
            </w:tr>
            <w:tr w14:paraId="601B1D38">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35">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4.10.</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36">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kāpnes un pandusi</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37">
                  <w:pPr>
                    <w:jc w:val="center"/>
                    <w:rPr>
                      <w:rFonts w:eastAsia="Times New Roman" w:cs="Times New Roman"/>
                      <w:sz w:val="24"/>
                      <w:szCs w:val="24"/>
                      <w:lang w:eastAsia="lv-LV"/>
                    </w:rPr>
                  </w:pPr>
                  <w:r>
                    <w:rPr>
                      <w:rFonts w:eastAsia="Times New Roman" w:cs="Times New Roman"/>
                      <w:sz w:val="24"/>
                      <w:szCs w:val="24"/>
                      <w:lang w:eastAsia="lv-LV"/>
                    </w:rPr>
                    <w:t>20</w:t>
                  </w:r>
                </w:p>
              </w:tc>
            </w:tr>
            <w:tr w14:paraId="601B1D3A">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rPr>
                <w:trHeight w:val="322" w:hRule="atLeast"/>
              </w:trPr>
              <w:tc>
                <w:tcPr>
                  <w:tcW w:w="0" w:type="auto"/>
                  <w:gridSpan w:val="3"/>
                  <w:tcBorders>
                    <w:top w:val="outset" w:color="414142" w:sz="6" w:space="0"/>
                    <w:left w:val="outset" w:color="414142" w:sz="6" w:space="0"/>
                    <w:bottom w:val="outset" w:color="414142" w:sz="6" w:space="0"/>
                    <w:right w:val="outset" w:color="414142" w:sz="6" w:space="0"/>
                  </w:tcBorders>
                  <w:vAlign w:val="center"/>
                </w:tcPr>
                <w:p w14:paraId="0E241E12">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Ēkas ārējās kāpnes veidotas no betona bez apdares. Iekšējās kāpnes veidotas no dzelzsbetona laidiem ar epoksīda masas/ flīžu/ gumijota pārklāja pakāpieniem un krāsotām metāla margām. Starp jumta līmeņu starībām ir izbūvētas tērauda kāpnes. To apdare ir pilnībā bojāta klimatisko apstākļu ietekmē, konstrukcija ir norūsējusi. Ieteicams veikt antikorozijas apstrādi un atjaunot apdares pārklājumu. Ēkas kāpnes uz pagrabstāvu ir neapmierinošā stāvoklī (konstatēti būtiski izdrupumi pakāpienos, nav droša ekspluatācija).</w:t>
                  </w:r>
                </w:p>
                <w:p w14:paraId="5167C357">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 xml:space="preserve">Vides pieejamības prasības ēkā nav nodrošinātas. </w:t>
                  </w:r>
                </w:p>
                <w:p w14:paraId="2BFF9E65">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 xml:space="preserve">Skatīt pielikumā Nr.1 foto fiksāciju. </w:t>
                  </w:r>
                </w:p>
                <w:p w14:paraId="601B1D39">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Ēkas ārējo kāpņu un pandusa tehniskais stāvoklis vērtējams kā apmierinošs, iekšējo kāpņu tehniskais stāvoklis vērtējams kā labs.</w:t>
                  </w:r>
                </w:p>
              </w:tc>
            </w:tr>
            <w:tr w14:paraId="601B1D3E">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3B">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4.11.</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3C">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starpsienas</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3D">
                  <w:pPr>
                    <w:jc w:val="center"/>
                    <w:rPr>
                      <w:rFonts w:eastAsia="Times New Roman" w:cs="Times New Roman"/>
                      <w:sz w:val="24"/>
                      <w:szCs w:val="24"/>
                      <w:lang w:eastAsia="lv-LV"/>
                    </w:rPr>
                  </w:pPr>
                  <w:r>
                    <w:rPr>
                      <w:rFonts w:eastAsia="Times New Roman" w:cs="Times New Roman"/>
                      <w:sz w:val="24"/>
                      <w:szCs w:val="24"/>
                      <w:lang w:eastAsia="lv-LV"/>
                    </w:rPr>
                    <w:t>20</w:t>
                  </w:r>
                </w:p>
              </w:tc>
            </w:tr>
            <w:tr w14:paraId="601B1D40">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6B495755">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Ēkas starpsienas veidotas no ķieģeļu mūra un ģipškartona konstrukcijas, apsekošanas laikā starpsienās netika konstatētas plaisas vai kāda cita veida deformācijas.</w:t>
                  </w:r>
                </w:p>
                <w:p w14:paraId="601B1D3F">
                  <w:pPr>
                    <w:spacing w:before="100" w:beforeAutospacing="1" w:after="100" w:afterAutospacing="1" w:line="293" w:lineRule="atLeast"/>
                    <w:jc w:val="both"/>
                    <w:rPr>
                      <w:rFonts w:eastAsia="Times New Roman" w:cs="Times New Roman"/>
                      <w:szCs w:val="28"/>
                      <w:lang w:eastAsia="lv-LV"/>
                    </w:rPr>
                  </w:pPr>
                  <w:r>
                    <w:rPr>
                      <w:rFonts w:eastAsia="Times New Roman" w:cs="Times New Roman"/>
                      <w:sz w:val="24"/>
                      <w:szCs w:val="24"/>
                      <w:lang w:eastAsia="lv-LV"/>
                    </w:rPr>
                    <w:t>Starpsienu tehniskais stāvoklis vērtējams kā apmierinošs.</w:t>
                  </w:r>
                </w:p>
              </w:tc>
            </w:tr>
            <w:tr w14:paraId="601B1D44">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41">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4.12.</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42">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grīdas</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43">
                  <w:pPr>
                    <w:jc w:val="center"/>
                    <w:rPr>
                      <w:rFonts w:eastAsia="Times New Roman" w:cs="Times New Roman"/>
                      <w:sz w:val="24"/>
                      <w:szCs w:val="24"/>
                      <w:lang w:eastAsia="lv-LV"/>
                    </w:rPr>
                  </w:pPr>
                  <w:r>
                    <w:rPr>
                      <w:rFonts w:eastAsia="Times New Roman" w:cs="Times New Roman"/>
                      <w:sz w:val="24"/>
                      <w:szCs w:val="24"/>
                      <w:lang w:eastAsia="lv-LV"/>
                    </w:rPr>
                    <w:t>20</w:t>
                  </w:r>
                </w:p>
              </w:tc>
            </w:tr>
            <w:tr w14:paraId="601B1D46">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6292EA21">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Grīdas segums ēkā pamatā veidots no dažādiem materiāliem (linolejs, lamināts), sanitārajos mezglos ir flīžu grīdas segums. Seguma tehniskais stāvoklis vērtējams kā daļēji apmierinošs.</w:t>
                  </w:r>
                </w:p>
                <w:p w14:paraId="4F951C30">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Ēkas pagrabstāvā ir dzelzsbetona grīda, kuras tehniskais stāvoklis vērtējams kā daļēji apmierinošs (konstatētas plaisas un izdurumi).</w:t>
                  </w:r>
                </w:p>
                <w:p w14:paraId="76AA8C97">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 xml:space="preserve"> Skatīt pielikumā Nr. 1. foto fiksāciju.</w:t>
                  </w:r>
                </w:p>
                <w:p w14:paraId="601B1D45">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Kopējais grīdu stāvoklis ēkā vērtējams kā labs.</w:t>
                  </w:r>
                </w:p>
              </w:tc>
            </w:tr>
            <w:tr w14:paraId="601B1D4A">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47">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4.13.</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48">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ailu aizpildījumi: vārti, ārdurvis, iekšdurvis, logi, lūkas</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49">
                  <w:pPr>
                    <w:jc w:val="center"/>
                    <w:rPr>
                      <w:rFonts w:eastAsia="Times New Roman" w:cs="Times New Roman"/>
                      <w:sz w:val="24"/>
                      <w:szCs w:val="24"/>
                      <w:lang w:eastAsia="lv-LV"/>
                    </w:rPr>
                  </w:pPr>
                  <w:r>
                    <w:rPr>
                      <w:rFonts w:eastAsia="Times New Roman" w:cs="Times New Roman"/>
                      <w:sz w:val="24"/>
                      <w:szCs w:val="24"/>
                      <w:lang w:eastAsia="lv-LV"/>
                    </w:rPr>
                    <w:t>20</w:t>
                  </w:r>
                </w:p>
              </w:tc>
            </w:tr>
            <w:tr w14:paraId="601B1D4C">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25BD18BD">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Ēkā ir daļēji uzstādīti PVC logi (daļēji ir palikuši vēsturiskie koka rāmju) un alumīnija konstrukcijas ārdurvis, iekšējās durvis ir daļēji koka konstrukcijas, daļēji metāla. Ugunsdrošo nodalījumu (saskaņa ar normatīvo aktu prasībām kāpņu telpas) norobežojošās durvis nenodrošina nepieciešamo ugunsdrošības klasi. Tehniskajās telpās uzstādītas metāla durvis. Skatīt pielikumā Nr.1. foto fiksāciju.</w:t>
                  </w:r>
                </w:p>
                <w:p w14:paraId="601B1D4B">
                  <w:pPr>
                    <w:spacing w:before="100" w:beforeAutospacing="1" w:after="100" w:afterAutospacing="1" w:line="293" w:lineRule="atLeast"/>
                    <w:jc w:val="both"/>
                    <w:rPr>
                      <w:rFonts w:eastAsia="Times New Roman" w:cs="Times New Roman"/>
                      <w:szCs w:val="28"/>
                      <w:lang w:eastAsia="lv-LV"/>
                    </w:rPr>
                  </w:pPr>
                  <w:r>
                    <w:rPr>
                      <w:rFonts w:eastAsia="Times New Roman" w:cs="Times New Roman"/>
                      <w:sz w:val="24"/>
                      <w:szCs w:val="24"/>
                      <w:lang w:eastAsia="lv-LV"/>
                    </w:rPr>
                    <w:t>Kopumā ēkas logu un durvju tehniskais stāvoklis vērtējams kā labs.</w:t>
                  </w:r>
                </w:p>
              </w:tc>
            </w:tr>
            <w:tr w14:paraId="601B1D50">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4D">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4.14.</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4E">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apkures krāsnis, virtuves pavardi, dūmeņi</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4F">
                  <w:pPr>
                    <w:rPr>
                      <w:rFonts w:eastAsia="Times New Roman" w:cs="Times New Roman"/>
                      <w:szCs w:val="28"/>
                      <w:lang w:eastAsia="lv-LV"/>
                    </w:rPr>
                  </w:pPr>
                </w:p>
              </w:tc>
            </w:tr>
            <w:tr w14:paraId="601B1D52">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601B1D51">
                  <w:pPr>
                    <w:spacing w:before="100" w:beforeAutospacing="1" w:after="100" w:afterAutospacing="1" w:line="293" w:lineRule="atLeast"/>
                    <w:jc w:val="both"/>
                    <w:rPr>
                      <w:rFonts w:eastAsia="Times New Roman" w:cs="Times New Roman"/>
                      <w:szCs w:val="28"/>
                      <w:lang w:eastAsia="lv-LV"/>
                    </w:rPr>
                  </w:pPr>
                </w:p>
              </w:tc>
            </w:tr>
            <w:tr w14:paraId="601B1D56">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53">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4.15.</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54">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konstrukciju un materiālu ugunsizturība</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55">
                  <w:pPr>
                    <w:jc w:val="center"/>
                    <w:rPr>
                      <w:rFonts w:eastAsia="Times New Roman" w:cs="Times New Roman"/>
                      <w:sz w:val="24"/>
                      <w:szCs w:val="24"/>
                      <w:lang w:eastAsia="lv-LV"/>
                    </w:rPr>
                  </w:pPr>
                  <w:r>
                    <w:rPr>
                      <w:rFonts w:eastAsia="Times New Roman" w:cs="Times New Roman"/>
                      <w:sz w:val="24"/>
                      <w:szCs w:val="24"/>
                      <w:lang w:eastAsia="lv-LV"/>
                    </w:rPr>
                    <w:t>30</w:t>
                  </w:r>
                </w:p>
              </w:tc>
            </w:tr>
            <w:tr w14:paraId="601B1D58">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1749341F">
                  <w:pPr>
                    <w:ind w:left="89"/>
                    <w:jc w:val="both"/>
                    <w:rPr>
                      <w:rFonts w:eastAsia="Times New Roman" w:cs="Times New Roman"/>
                      <w:sz w:val="24"/>
                      <w:szCs w:val="24"/>
                      <w:lang w:eastAsia="lv-LV"/>
                    </w:rPr>
                  </w:pPr>
                  <w:r>
                    <w:rPr>
                      <w:rFonts w:eastAsia="Times New Roman" w:cs="Times New Roman"/>
                      <w:sz w:val="24"/>
                      <w:szCs w:val="24"/>
                      <w:lang w:eastAsia="lv-LV"/>
                    </w:rPr>
                    <w:t>Atbilstoši izvirzītajām ugunsdrošības prasībām, ēka atbilst (V) lietošanas veidam, kas ir “būves un telpas, kas parasti tiek izmantotas dienā un kurās pastāvīgi uzturas lietotāji, kas pārzina telpas un var patstāvīgi evakuēties, tai skaitā administratīvās ēkas, valsts un pašvaldību iestādes, valsts robežkontroles punkti, arhīvi, bankas, biroju ēkas, glābšanas dienestu būves, zinātnes un pētniecības iestāžu ēkas, kā arī izglītības iestādes, kurās nodrošina vidējo, vidējo profesionālo, augstāko un interešu izglītību”.</w:t>
                  </w:r>
                </w:p>
                <w:p w14:paraId="23586D22">
                  <w:pPr>
                    <w:ind w:left="89"/>
                    <w:jc w:val="both"/>
                    <w:rPr>
                      <w:rFonts w:eastAsia="Times New Roman" w:cs="Times New Roman"/>
                      <w:sz w:val="24"/>
                      <w:szCs w:val="24"/>
                      <w:lang w:eastAsia="lv-LV"/>
                    </w:rPr>
                  </w:pPr>
                  <w:r>
                    <w:rPr>
                      <w:rFonts w:eastAsia="Times New Roman" w:cs="Times New Roman"/>
                      <w:sz w:val="24"/>
                      <w:szCs w:val="24"/>
                      <w:lang w:eastAsia="lv-LV"/>
                    </w:rPr>
                    <w:t>Ēkas apsekošanas laikā nav konstatēti būtiskākie trūkumi, kas saistīti ar ēkas konstrukciju ugunsizturības pazemināšanos ir inženierkomunikāciju šķērsojumi, tie nav izpildīti atbilstīgi ugunsdrošības normatīvo aktu prasībām. Ugunsdrošo nodalījumu norobežojošo ailu aizpildījums (durvis, logi) nav izbūvēti atbilstoši ugunsdrošības prasībām. Ēkā ir nodrošināti evakuācijas ceļi, ir uzstādītas evakuācijas virziena zīmes; daļēji ir izstādīti dūmu uztveršanas sensori.</w:t>
                  </w:r>
                </w:p>
                <w:p w14:paraId="7C7CD74A">
                  <w:pPr>
                    <w:ind w:left="89"/>
                    <w:jc w:val="both"/>
                    <w:rPr>
                      <w:rFonts w:eastAsia="Times New Roman" w:cs="Times New Roman"/>
                      <w:sz w:val="24"/>
                      <w:szCs w:val="24"/>
                      <w:lang w:eastAsia="lv-LV"/>
                    </w:rPr>
                  </w:pPr>
                  <w:r>
                    <w:rPr>
                      <w:rFonts w:eastAsia="Times New Roman" w:cs="Times New Roman"/>
                      <w:sz w:val="24"/>
                      <w:szCs w:val="24"/>
                      <w:lang w:eastAsia="lv-LV"/>
                    </w:rPr>
                    <w:t>Kāpņu telpās un gaiteņos ir izbūvēta iekšējās ugunsdzēsības krāni, kuru šļūtenes daļēji ir atvienotas.</w:t>
                  </w:r>
                </w:p>
                <w:p w14:paraId="5EC19021">
                  <w:pPr>
                    <w:ind w:left="89"/>
                    <w:jc w:val="both"/>
                    <w:rPr>
                      <w:sz w:val="24"/>
                      <w:szCs w:val="24"/>
                    </w:rPr>
                  </w:pPr>
                  <w:r>
                    <w:rPr>
                      <w:sz w:val="24"/>
                      <w:szCs w:val="24"/>
                    </w:rPr>
                    <w:t>Ēkas kāpņu telpas nav ugunsdroši atdalītas.</w:t>
                  </w:r>
                </w:p>
                <w:p w14:paraId="0B005612">
                  <w:pPr>
                    <w:ind w:left="89"/>
                    <w:jc w:val="both"/>
                    <w:rPr>
                      <w:sz w:val="24"/>
                      <w:szCs w:val="24"/>
                    </w:rPr>
                  </w:pPr>
                </w:p>
                <w:p w14:paraId="0F2FD7D6">
                  <w:pPr>
                    <w:ind w:left="89"/>
                    <w:jc w:val="both"/>
                    <w:rPr>
                      <w:sz w:val="24"/>
                      <w:szCs w:val="24"/>
                    </w:rPr>
                  </w:pPr>
                  <w:r>
                    <w:rPr>
                      <w:sz w:val="24"/>
                      <w:szCs w:val="24"/>
                    </w:rPr>
                    <w:t>Kopumā ēkas konstrukciju un materiālu ugunsizturība vērtējama kā  labs.</w:t>
                  </w:r>
                </w:p>
                <w:p w14:paraId="601B1D57">
                  <w:pPr>
                    <w:ind w:left="89"/>
                    <w:jc w:val="both"/>
                    <w:rPr>
                      <w:rFonts w:eastAsia="Times New Roman" w:cs="Times New Roman"/>
                      <w:sz w:val="24"/>
                      <w:szCs w:val="24"/>
                      <w:lang w:eastAsia="lv-LV"/>
                    </w:rPr>
                  </w:pPr>
                </w:p>
              </w:tc>
            </w:tr>
            <w:tr w14:paraId="601B1D5C">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59">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4.16.</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5A">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ventilācijas šahtas un kanāli</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5B">
                  <w:pPr>
                    <w:jc w:val="center"/>
                    <w:rPr>
                      <w:rFonts w:eastAsia="Times New Roman" w:cs="Times New Roman"/>
                      <w:sz w:val="24"/>
                      <w:szCs w:val="24"/>
                      <w:lang w:eastAsia="lv-LV"/>
                    </w:rPr>
                  </w:pPr>
                  <w:r>
                    <w:rPr>
                      <w:rFonts w:eastAsia="Times New Roman" w:cs="Times New Roman"/>
                      <w:sz w:val="24"/>
                      <w:szCs w:val="24"/>
                      <w:lang w:eastAsia="lv-LV"/>
                    </w:rPr>
                    <w:t>20</w:t>
                  </w:r>
                </w:p>
              </w:tc>
            </w:tr>
            <w:tr w14:paraId="601B1D5E">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rPr>
                <w:trHeight w:val="340" w:hRule="atLeast"/>
              </w:trPr>
              <w:tc>
                <w:tcPr>
                  <w:tcW w:w="0" w:type="auto"/>
                  <w:gridSpan w:val="3"/>
                  <w:tcBorders>
                    <w:top w:val="outset" w:color="414142" w:sz="6" w:space="0"/>
                    <w:left w:val="outset" w:color="414142" w:sz="6" w:space="0"/>
                    <w:bottom w:val="outset" w:color="414142" w:sz="6" w:space="0"/>
                    <w:right w:val="outset" w:color="414142" w:sz="6" w:space="0"/>
                  </w:tcBorders>
                  <w:vAlign w:val="center"/>
                </w:tcPr>
                <w:p w14:paraId="763B7F1B">
                  <w:pPr>
                    <w:rPr>
                      <w:rFonts w:eastAsia="Times New Roman" w:cs="Times New Roman"/>
                      <w:sz w:val="24"/>
                      <w:szCs w:val="24"/>
                      <w:lang w:eastAsia="lv-LV"/>
                    </w:rPr>
                  </w:pPr>
                  <w:r>
                    <w:rPr>
                      <w:rFonts w:eastAsia="Times New Roman" w:cs="Times New Roman"/>
                      <w:sz w:val="24"/>
                      <w:szCs w:val="24"/>
                      <w:lang w:eastAsia="lv-LV"/>
                    </w:rPr>
                    <w:t>Ēkā ir izbūvēta mehāniskā ventilācijas sistēma, gaisa apmaiņa telpās tiek nodrošināta caur restēm.</w:t>
                  </w:r>
                </w:p>
                <w:p w14:paraId="601B1D5D">
                  <w:pPr>
                    <w:rPr>
                      <w:rFonts w:eastAsia="Times New Roman" w:cs="Times New Roman"/>
                      <w:sz w:val="24"/>
                      <w:szCs w:val="24"/>
                      <w:lang w:eastAsia="lv-LV"/>
                    </w:rPr>
                  </w:pPr>
                  <w:r>
                    <w:rPr>
                      <w:rFonts w:eastAsia="Times New Roman" w:cs="Times New Roman"/>
                      <w:sz w:val="24"/>
                      <w:szCs w:val="24"/>
                      <w:lang w:eastAsia="lv-LV"/>
                    </w:rPr>
                    <w:t>Ēkas kopējais ventilācijas cauruļvadu tehniskais stāvoklis vērtējams kā apmierinošs.</w:t>
                  </w:r>
                </w:p>
              </w:tc>
            </w:tr>
            <w:tr w14:paraId="601B1D62">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5F">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4.17.</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60">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liftu šahtas</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61">
                  <w:pPr>
                    <w:jc w:val="center"/>
                    <w:rPr>
                      <w:rFonts w:eastAsia="Times New Roman" w:cs="Times New Roman"/>
                      <w:sz w:val="24"/>
                      <w:szCs w:val="24"/>
                      <w:lang w:eastAsia="lv-LV"/>
                    </w:rPr>
                  </w:pPr>
                  <w:r>
                    <w:rPr>
                      <w:rFonts w:eastAsia="Times New Roman" w:cs="Times New Roman"/>
                      <w:sz w:val="24"/>
                      <w:szCs w:val="24"/>
                      <w:lang w:eastAsia="lv-LV"/>
                    </w:rPr>
                    <w:t>---</w:t>
                  </w:r>
                </w:p>
              </w:tc>
            </w:tr>
            <w:tr w14:paraId="601B1D64">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rPr>
                <w:trHeight w:val="520" w:hRule="atLeast"/>
              </w:trPr>
              <w:tc>
                <w:tcPr>
                  <w:tcW w:w="0" w:type="auto"/>
                  <w:gridSpan w:val="3"/>
                  <w:tcBorders>
                    <w:top w:val="outset" w:color="414142" w:sz="6" w:space="0"/>
                    <w:left w:val="outset" w:color="414142" w:sz="6" w:space="0"/>
                    <w:bottom w:val="outset" w:color="414142" w:sz="6" w:space="0"/>
                    <w:right w:val="outset" w:color="414142" w:sz="6" w:space="0"/>
                  </w:tcBorders>
                  <w:vAlign w:val="center"/>
                </w:tcPr>
                <w:p w14:paraId="10F3E613">
                  <w:pPr>
                    <w:jc w:val="both"/>
                    <w:rPr>
                      <w:rFonts w:eastAsia="Times New Roman" w:cs="Times New Roman"/>
                      <w:sz w:val="24"/>
                      <w:szCs w:val="24"/>
                      <w:lang w:eastAsia="lv-LV"/>
                    </w:rPr>
                  </w:pPr>
                  <w:r>
                    <w:rPr>
                      <w:rFonts w:eastAsia="Times New Roman" w:cs="Times New Roman"/>
                      <w:sz w:val="24"/>
                      <w:szCs w:val="24"/>
                      <w:lang w:eastAsia="lv-LV"/>
                    </w:rPr>
                    <w:t>Nav.</w:t>
                  </w:r>
                </w:p>
                <w:p w14:paraId="601B1D63">
                  <w:pPr>
                    <w:jc w:val="both"/>
                    <w:rPr>
                      <w:rFonts w:eastAsia="Times New Roman" w:cs="Times New Roman"/>
                      <w:sz w:val="24"/>
                      <w:szCs w:val="24"/>
                      <w:lang w:eastAsia="lv-LV"/>
                    </w:rPr>
                  </w:pPr>
                </w:p>
              </w:tc>
            </w:tr>
            <w:tr w14:paraId="601B1D68">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65">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4.18.</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66">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iekšējā apdare un arhitektūras detaļas</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67">
                  <w:pPr>
                    <w:jc w:val="center"/>
                    <w:rPr>
                      <w:rFonts w:eastAsia="Times New Roman" w:cs="Times New Roman"/>
                      <w:sz w:val="24"/>
                      <w:szCs w:val="24"/>
                      <w:lang w:eastAsia="lv-LV"/>
                    </w:rPr>
                  </w:pPr>
                  <w:r>
                    <w:rPr>
                      <w:rFonts w:eastAsia="Times New Roman" w:cs="Times New Roman"/>
                      <w:sz w:val="24"/>
                      <w:szCs w:val="24"/>
                      <w:lang w:eastAsia="lv-LV"/>
                    </w:rPr>
                    <w:t>20</w:t>
                  </w:r>
                </w:p>
              </w:tc>
            </w:tr>
            <w:tr w14:paraId="601B1D6A">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1CD76EC7">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Ēkā dažādos laikos ir veikti kosmētiskie remonta darbi, sienas krāsotas ar emulsijas krāsām, sanitāŗajos mezglos veikta flīžu apdare, gaiteņos un mācību telpās uz grīdām ir ieklāts nodilumizturīgs linolejs, griestu apdarē izmantoti piekārto sistēmu plākšņu apdares materiāli. Skatīt pielikumā Nr.1. foto fiksāciju .</w:t>
                  </w:r>
                </w:p>
                <w:p w14:paraId="601B1D69">
                  <w:pPr>
                    <w:spacing w:before="100" w:beforeAutospacing="1" w:after="100" w:afterAutospacing="1" w:line="293" w:lineRule="atLeast"/>
                    <w:rPr>
                      <w:rFonts w:eastAsia="Times New Roman" w:cs="Times New Roman"/>
                      <w:szCs w:val="28"/>
                      <w:lang w:eastAsia="lv-LV"/>
                    </w:rPr>
                  </w:pPr>
                  <w:r>
                    <w:rPr>
                      <w:rFonts w:eastAsia="Times New Roman" w:cs="Times New Roman"/>
                      <w:sz w:val="24"/>
                      <w:szCs w:val="24"/>
                      <w:lang w:eastAsia="lv-LV"/>
                    </w:rPr>
                    <w:t xml:space="preserve"> Ēkas iekšējā apdare kopumā atbilsts normatīvajos aktos noteiktajām higiēnas prasībām.</w:t>
                  </w:r>
                </w:p>
              </w:tc>
            </w:tr>
            <w:tr w14:paraId="601B1D6E">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6B">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4.19.</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6C">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ārējā apdare un arhitektūras detaļas</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6D">
                  <w:pPr>
                    <w:jc w:val="center"/>
                    <w:rPr>
                      <w:rFonts w:eastAsia="Times New Roman" w:cs="Times New Roman"/>
                      <w:sz w:val="24"/>
                      <w:szCs w:val="24"/>
                      <w:lang w:eastAsia="lv-LV"/>
                    </w:rPr>
                  </w:pPr>
                  <w:r>
                    <w:rPr>
                      <w:rFonts w:eastAsia="Times New Roman" w:cs="Times New Roman"/>
                      <w:sz w:val="24"/>
                      <w:szCs w:val="24"/>
                      <w:lang w:eastAsia="lv-LV"/>
                    </w:rPr>
                    <w:t>30</w:t>
                  </w:r>
                </w:p>
              </w:tc>
            </w:tr>
            <w:tr w14:paraId="601B1D70">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4A602068">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 xml:space="preserve">Ēka ir izbūvēta bez ārējās apdares (atklāts ķieģeļu mūris). Apmetuma apdare iz izbūvēta tikai ēkas cokola daļā. Vietām ir konstatētas apmetuma nolietojuma pazīmes, klimatisko apstākļu (ēnas pusē) ietekmē sienas ir nosūnojušas, kas var veicināt turpmāko apmetuma bojāšanos. Papildus konstatētas krāsas nodiluma pazīmes klimatisko apstākļu ietekmē (krās lobās nost) ārējo kāpņu (uz jumta) konstrukcijām, līdz ar to var progresēt rūsas parādīšanās uz tērauda konstrukcijas. Cokola daļā, mitruma ietekmē, vietām vērojama lokāla apmetuma atslāņošanās.  Skatīt pielikumā Nr.1. foto fiksāciju.  </w:t>
                  </w:r>
                </w:p>
                <w:p w14:paraId="601B1D6F">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Kopumā ēkas ārējās apdares stāvoklis vērtējams kā apmierinošs.</w:t>
                  </w:r>
                </w:p>
              </w:tc>
            </w:tr>
            <w:tr w14:paraId="601B1D74">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71">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4.20.</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72">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citas būves daļas</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73">
                  <w:pPr>
                    <w:rPr>
                      <w:rFonts w:eastAsia="Times New Roman" w:cs="Times New Roman"/>
                      <w:szCs w:val="28"/>
                      <w:lang w:eastAsia="lv-LV"/>
                    </w:rPr>
                  </w:pPr>
                </w:p>
              </w:tc>
            </w:tr>
            <w:tr w14:paraId="601B1D76">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601B1D75">
                  <w:pPr>
                    <w:rPr>
                      <w:rFonts w:eastAsia="Times New Roman" w:cs="Times New Roman"/>
                      <w:szCs w:val="28"/>
                      <w:lang w:eastAsia="lv-LV"/>
                    </w:rPr>
                  </w:pPr>
                </w:p>
              </w:tc>
            </w:tr>
          </w:tbl>
          <w:p w14:paraId="601B1D77">
            <w:pPr>
              <w:ind w:firstLine="301"/>
              <w:jc w:val="center"/>
              <w:rPr>
                <w:rFonts w:eastAsia="Times New Roman" w:cs="Times New Roman"/>
                <w:b/>
                <w:bCs/>
                <w:szCs w:val="28"/>
                <w:lang w:eastAsia="lv-LV"/>
              </w:rPr>
            </w:pPr>
          </w:p>
          <w:p w14:paraId="601B1D78">
            <w:pPr>
              <w:ind w:firstLine="301"/>
              <w:jc w:val="center"/>
              <w:rPr>
                <w:rFonts w:eastAsia="Times New Roman" w:cs="Times New Roman"/>
                <w:b/>
                <w:bCs/>
                <w:szCs w:val="28"/>
                <w:lang w:eastAsia="lv-LV"/>
              </w:rPr>
            </w:pPr>
            <w:r>
              <w:rPr>
                <w:rFonts w:eastAsia="Times New Roman" w:cs="Times New Roman"/>
                <w:b/>
                <w:bCs/>
                <w:szCs w:val="28"/>
                <w:lang w:eastAsia="lv-LV"/>
              </w:rPr>
              <w:t>5. Iekšējie inženiertīkli un iekārtas</w:t>
            </w:r>
          </w:p>
          <w:p w14:paraId="601B1D79">
            <w:pPr>
              <w:ind w:firstLine="301"/>
              <w:jc w:val="center"/>
              <w:rPr>
                <w:rFonts w:eastAsia="Times New Roman" w:cs="Times New Roman"/>
                <w:sz w:val="24"/>
                <w:szCs w:val="24"/>
                <w:lang w:eastAsia="lv-LV"/>
              </w:rPr>
            </w:pPr>
            <w:r>
              <w:rPr>
                <w:rFonts w:eastAsia="Times New Roman" w:cs="Times New Roman"/>
                <w:sz w:val="24"/>
                <w:szCs w:val="24"/>
                <w:lang w:eastAsia="lv-LV"/>
              </w:rPr>
              <w:t xml:space="preserve">(Ietver tikai tos iekšējos inženiertīklus un iekārtas, kas apsekotas </w:t>
            </w:r>
          </w:p>
          <w:p w14:paraId="601B1D7A">
            <w:pPr>
              <w:ind w:firstLine="301"/>
              <w:jc w:val="center"/>
              <w:rPr>
                <w:rFonts w:eastAsia="Times New Roman" w:cs="Times New Roman"/>
                <w:sz w:val="24"/>
                <w:szCs w:val="24"/>
                <w:lang w:eastAsia="lv-LV"/>
              </w:rPr>
            </w:pPr>
            <w:r>
              <w:rPr>
                <w:rFonts w:eastAsia="Times New Roman" w:cs="Times New Roman"/>
                <w:sz w:val="24"/>
                <w:szCs w:val="24"/>
                <w:lang w:eastAsia="lv-LV"/>
              </w:rPr>
              <w:t>atbilstoši apsekošanas uzdevumam)</w:t>
            </w:r>
          </w:p>
          <w:p w14:paraId="601B1D7B">
            <w:pPr>
              <w:ind w:firstLine="301"/>
              <w:jc w:val="center"/>
              <w:rPr>
                <w:rFonts w:eastAsia="Times New Roman" w:cs="Times New Roman"/>
                <w:sz w:val="24"/>
                <w:szCs w:val="24"/>
                <w:lang w:eastAsia="lv-LV"/>
              </w:rPr>
            </w:pPr>
          </w:p>
          <w:tbl>
            <w:tblPr>
              <w:tblStyle w:val="4"/>
              <w:tblW w:w="5000" w:type="pct"/>
              <w:tblInd w:w="0" w:type="dxa"/>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Layout w:type="autofit"/>
              <w:tblCellMar>
                <w:top w:w="45" w:type="dxa"/>
                <w:left w:w="45" w:type="dxa"/>
                <w:bottom w:w="45" w:type="dxa"/>
                <w:right w:w="45" w:type="dxa"/>
              </w:tblCellMar>
            </w:tblPr>
            <w:tblGrid>
              <w:gridCol w:w="906"/>
              <w:gridCol w:w="6339"/>
              <w:gridCol w:w="1811"/>
            </w:tblGrid>
            <w:tr w14:paraId="601B1D7E">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2"/>
                  <w:tcBorders>
                    <w:top w:val="outset" w:color="414142" w:sz="6" w:space="0"/>
                    <w:left w:val="outset" w:color="414142" w:sz="6" w:space="0"/>
                    <w:bottom w:val="outset" w:color="414142" w:sz="6" w:space="0"/>
                    <w:right w:val="outset" w:color="414142" w:sz="6" w:space="0"/>
                  </w:tcBorders>
                  <w:vAlign w:val="center"/>
                </w:tcPr>
                <w:p w14:paraId="601B1D7C">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Apsekošanas objekta vai apsekošanas priekšmeta nosaukums. Īss konstatēto bojājumu un to cēloņu apraksts, tehniskā stāvokļa novērtējums atsevišķiem būves elementiem, konstrukciju veidiem un būves daļām. Atbilstība normatīvo aktu prasībām</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7D">
                  <w:pPr>
                    <w:spacing w:before="100" w:beforeAutospacing="1" w:after="100" w:afterAutospacing="1" w:line="293" w:lineRule="atLeast"/>
                    <w:jc w:val="center"/>
                    <w:rPr>
                      <w:rFonts w:eastAsia="Times New Roman" w:cs="Times New Roman"/>
                      <w:sz w:val="24"/>
                      <w:szCs w:val="24"/>
                      <w:lang w:eastAsia="lv-LV"/>
                    </w:rPr>
                  </w:pPr>
                  <w:r>
                    <w:rPr>
                      <w:rFonts w:eastAsia="Times New Roman" w:cs="Times New Roman"/>
                      <w:sz w:val="24"/>
                      <w:szCs w:val="24"/>
                      <w:lang w:eastAsia="lv-LV"/>
                    </w:rPr>
                    <w:t>Tehniskais nolietojums</w:t>
                  </w:r>
                  <w:r>
                    <w:rPr>
                      <w:rFonts w:eastAsia="Times New Roman" w:cs="Times New Roman"/>
                      <w:sz w:val="24"/>
                      <w:szCs w:val="24"/>
                      <w:lang w:eastAsia="lv-LV"/>
                    </w:rPr>
                    <w:br w:type="textWrapping"/>
                  </w:r>
                  <w:r>
                    <w:rPr>
                      <w:rFonts w:eastAsia="Times New Roman" w:cs="Times New Roman"/>
                      <w:sz w:val="24"/>
                      <w:szCs w:val="24"/>
                      <w:lang w:eastAsia="lv-LV"/>
                    </w:rPr>
                    <w:t>(%)</w:t>
                  </w:r>
                </w:p>
              </w:tc>
            </w:tr>
            <w:tr w14:paraId="601B1D82">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500" w:type="pct"/>
                  <w:tcBorders>
                    <w:top w:val="outset" w:color="414142" w:sz="6" w:space="0"/>
                    <w:left w:val="outset" w:color="414142" w:sz="6" w:space="0"/>
                    <w:bottom w:val="outset" w:color="414142" w:sz="6" w:space="0"/>
                    <w:right w:val="outset" w:color="414142" w:sz="6" w:space="0"/>
                  </w:tcBorders>
                  <w:vAlign w:val="center"/>
                </w:tcPr>
                <w:p w14:paraId="601B1D7F">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5.1.</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80">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aukstā ūdens un kanalizācijas cauruļvadi, ventiļi, krāni, sanitārtehniskā iekārta, ūdens patēriņa skaitītāji</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81">
                  <w:pPr>
                    <w:jc w:val="center"/>
                    <w:rPr>
                      <w:rFonts w:eastAsia="Times New Roman" w:cs="Times New Roman"/>
                      <w:sz w:val="24"/>
                      <w:szCs w:val="24"/>
                      <w:lang w:eastAsia="lv-LV"/>
                    </w:rPr>
                  </w:pPr>
                  <w:r>
                    <w:rPr>
                      <w:rFonts w:eastAsia="Times New Roman" w:cs="Times New Roman"/>
                      <w:sz w:val="24"/>
                      <w:szCs w:val="24"/>
                      <w:lang w:eastAsia="lv-LV"/>
                    </w:rPr>
                    <w:t>30</w:t>
                  </w:r>
                </w:p>
              </w:tc>
            </w:tr>
            <w:tr w14:paraId="601B1D84">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54E9D19E">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Aukstā ūdens ievads ar ūdens patēriņa uzskaites mezglu atrodas ēkas pagrabstāva tehniskajā telpā – siltummezglā. Aukstā ūdens ievads atrodas šahtā zem grīdas līmeņa. Iekšējā aukstā ūdensvadiem un ugunsdzēsības ūdensvadam vietām redzami rūsas radīti bojājumi. Augstā ūdens spiediena nodrošināšanai ēkas augšējos stāvos, ir uzstādīti otrā pacēluma ūdens sūkņi. Pagrabstāvā ir izbūvētas akas drenāžas ūdens savākšanai.</w:t>
                  </w:r>
                </w:p>
                <w:p w14:paraId="1CF6B82D">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 xml:space="preserve">Skatīt pielikumā Nr.1. foto fiksāciju. </w:t>
                  </w:r>
                </w:p>
                <w:p w14:paraId="31B37390">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Aukstā ūdens un kanalizācijas cauruļvadu tehniskais stāvoklis vērtējams kā apmierinošs.</w:t>
                  </w:r>
                </w:p>
                <w:p w14:paraId="601B1D83">
                  <w:pPr>
                    <w:spacing w:before="100" w:beforeAutospacing="1" w:after="100" w:afterAutospacing="1" w:line="293" w:lineRule="atLeast"/>
                    <w:jc w:val="both"/>
                    <w:rPr>
                      <w:rFonts w:eastAsia="Times New Roman" w:cs="Times New Roman"/>
                      <w:sz w:val="24"/>
                      <w:szCs w:val="24"/>
                      <w:lang w:eastAsia="lv-LV"/>
                    </w:rPr>
                  </w:pPr>
                </w:p>
              </w:tc>
            </w:tr>
            <w:tr w14:paraId="601B1D88">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85">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5.2.</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86">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karstā ūdens cauruļvadi, to izolācija, ventiļi, krāni, ūdensmaisītāji, žāvētāji, ar cieto kurināmo apkurināmie ūdens sildītāji, ūdens patēriņa un siltumenerģijas patēriņa skaitītāji un citi elementi</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87">
                  <w:pPr>
                    <w:jc w:val="center"/>
                    <w:rPr>
                      <w:rFonts w:eastAsia="Times New Roman" w:cs="Times New Roman"/>
                      <w:sz w:val="24"/>
                      <w:szCs w:val="24"/>
                      <w:lang w:eastAsia="lv-LV"/>
                    </w:rPr>
                  </w:pPr>
                  <w:r>
                    <w:rPr>
                      <w:rFonts w:eastAsia="Times New Roman" w:cs="Times New Roman"/>
                      <w:sz w:val="24"/>
                      <w:szCs w:val="24"/>
                      <w:lang w:eastAsia="lv-LV"/>
                    </w:rPr>
                    <w:t>30</w:t>
                  </w:r>
                </w:p>
              </w:tc>
            </w:tr>
            <w:tr w14:paraId="601B1D8A">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601B1D89">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Karstā ūdens sagatavošana notiek ēkas siltummezglā ar siltummaiņa palīdzību. Iekšējā karstā ūdensvada tehniskais stāvoklis vērtējams, kā apmierinošs. Skatīt pielikumā Nr.1. foto fiksāciju.</w:t>
                  </w:r>
                </w:p>
              </w:tc>
            </w:tr>
            <w:tr w14:paraId="601B1D8E">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8B">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5.3.</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8C">
                  <w:pPr>
                    <w:widowControl w:val="0"/>
                    <w:jc w:val="both"/>
                    <w:rPr>
                      <w:rFonts w:eastAsia="Times New Roman" w:cs="Times New Roman"/>
                      <w:sz w:val="20"/>
                      <w:szCs w:val="20"/>
                      <w:lang w:eastAsia="lv-LV"/>
                    </w:rPr>
                  </w:pPr>
                  <w:r>
                    <w:rPr>
                      <w:rFonts w:eastAsia="Times New Roman" w:cs="Times New Roman"/>
                      <w:sz w:val="20"/>
                      <w:szCs w:val="20"/>
                      <w:lang w:eastAsia="lv-LV"/>
                    </w:rPr>
                    <w:t xml:space="preserve">ugunsdzēsības ūdensvads, automātiskās </w:t>
                  </w:r>
                  <w:r>
                    <w:rPr>
                      <w:sz w:val="20"/>
                      <w:szCs w:val="20"/>
                    </w:rPr>
                    <w:t>ugunsdzēsības</w:t>
                  </w:r>
                  <w:r>
                    <w:rPr>
                      <w:rFonts w:eastAsia="Times New Roman" w:cs="Times New Roman"/>
                      <w:sz w:val="20"/>
                      <w:szCs w:val="20"/>
                      <w:lang w:eastAsia="lv-LV"/>
                    </w:rPr>
                    <w:t xml:space="preserve"> sistēmas un </w:t>
                  </w:r>
                  <w:r>
                    <w:rPr>
                      <w:sz w:val="20"/>
                      <w:szCs w:val="20"/>
                    </w:rPr>
                    <w:t>dūmaizsardzības risinājumi</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8D">
                  <w:pPr>
                    <w:jc w:val="center"/>
                    <w:rPr>
                      <w:rFonts w:eastAsia="Times New Roman" w:cs="Times New Roman"/>
                      <w:sz w:val="24"/>
                      <w:szCs w:val="24"/>
                      <w:lang w:eastAsia="lv-LV"/>
                    </w:rPr>
                  </w:pPr>
                  <w:r>
                    <w:rPr>
                      <w:rFonts w:eastAsia="Times New Roman" w:cs="Times New Roman"/>
                      <w:sz w:val="24"/>
                      <w:szCs w:val="24"/>
                      <w:lang w:eastAsia="lv-LV"/>
                    </w:rPr>
                    <w:t>30</w:t>
                  </w:r>
                </w:p>
              </w:tc>
            </w:tr>
            <w:tr w14:paraId="601B1D92">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68D11011">
                  <w:pPr>
                    <w:widowControl w:val="0"/>
                    <w:jc w:val="both"/>
                    <w:rPr>
                      <w:rFonts w:eastAsia="Times New Roman" w:cs="Times New Roman"/>
                      <w:sz w:val="24"/>
                      <w:szCs w:val="24"/>
                      <w:lang w:eastAsia="lv-LV"/>
                    </w:rPr>
                  </w:pPr>
                  <w:r>
                    <w:rPr>
                      <w:rFonts w:eastAsia="Times New Roman" w:cs="Times New Roman"/>
                      <w:sz w:val="24"/>
                      <w:szCs w:val="24"/>
                      <w:lang w:eastAsia="lv-LV"/>
                    </w:rPr>
                    <w:t>Ēkā ir izbūvēta iekšējā ugunsdzēsības ūdensvada sistēma. Cauruļvada diametrs 50 mm. Spiediena nodrošināšanai ēkas augšējos stāvos, siltummezglā ir uzstādīti 2. gab. otrā pacēluma sūkņi. Ēkas kāpņu telpās un gaiteņos izvietoti ugunsdzēsības krāni ar to aprīkojumu, kas izvietoti aizslēdzamos ugunsdzēsības skapjos. Uz skapja ir izvietota uzlīme ar pārbaudes datumu un pārbaudītāja vārdu, uzvārdu. Skatīt pielikumā Nr.1. foto fiksāciju.</w:t>
                  </w:r>
                </w:p>
                <w:p w14:paraId="601B1D91">
                  <w:pPr>
                    <w:widowControl w:val="0"/>
                    <w:jc w:val="both"/>
                    <w:rPr>
                      <w:rFonts w:eastAsia="Times New Roman" w:cs="Times New Roman"/>
                      <w:sz w:val="24"/>
                      <w:szCs w:val="24"/>
                      <w:lang w:eastAsia="lv-LV"/>
                    </w:rPr>
                  </w:pPr>
                </w:p>
              </w:tc>
            </w:tr>
            <w:tr w14:paraId="601B1D96">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93">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5.4.</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94">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apkures sistēma, tās cauruļvadi, stāvvadi, ventiļi, cauruļvadu izolācija, apkures katli, siltummaiņi, mēraparāti, automātika un citi elementi</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95">
                  <w:pPr>
                    <w:jc w:val="center"/>
                    <w:rPr>
                      <w:rFonts w:eastAsia="Times New Roman" w:cs="Times New Roman"/>
                      <w:sz w:val="24"/>
                      <w:szCs w:val="24"/>
                      <w:lang w:eastAsia="lv-LV"/>
                    </w:rPr>
                  </w:pPr>
                  <w:r>
                    <w:rPr>
                      <w:rFonts w:eastAsia="Times New Roman" w:cs="Times New Roman"/>
                      <w:sz w:val="24"/>
                      <w:szCs w:val="24"/>
                      <w:lang w:eastAsia="lv-LV"/>
                    </w:rPr>
                    <w:t>30</w:t>
                  </w:r>
                </w:p>
              </w:tc>
            </w:tr>
            <w:tr w14:paraId="601B1D98">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7B339361">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Ēkas siltumapgāde tiek nodrošināta no centralizētiem siltumtīkliem. Siltummezgls izvietots tehniskajā telpā, ēkas pagrabstāvā. Maģistrālās siltumtrases cauruļvadi tehniski labā stāvoklī. Cauruļvadi, stāvvadi, ventiļi, cauruļvadu izolācija, siltummaiņi uzskatāmi atbilstošiem, apsekoti bez būtiskiem bojājumiem. Skatīt pielikumā Nr.1. foto fiksāciju.</w:t>
                  </w:r>
                </w:p>
                <w:p w14:paraId="601B1D97">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Apkures sistēma kopumā vērtējama kā apmierinoša.</w:t>
                  </w:r>
                </w:p>
              </w:tc>
            </w:tr>
            <w:tr w14:paraId="601B1D9C">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99">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5.5.</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9A">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centrālapkures radiatori, kaloriferi, konvektori un to pievadi, siltuma regulatori</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9B">
                  <w:pPr>
                    <w:jc w:val="center"/>
                    <w:rPr>
                      <w:rFonts w:eastAsia="Times New Roman" w:cs="Times New Roman"/>
                      <w:sz w:val="24"/>
                      <w:szCs w:val="24"/>
                      <w:lang w:eastAsia="lv-LV"/>
                    </w:rPr>
                  </w:pPr>
                  <w:r>
                    <w:rPr>
                      <w:rFonts w:eastAsia="Times New Roman" w:cs="Times New Roman"/>
                      <w:sz w:val="24"/>
                      <w:szCs w:val="24"/>
                      <w:lang w:eastAsia="lv-LV"/>
                    </w:rPr>
                    <w:t>20</w:t>
                  </w:r>
                </w:p>
              </w:tc>
            </w:tr>
            <w:tr w14:paraId="601B1D9E">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601B1D9D">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Ēkā ir uzstādīti tērauda radiatori, to tehniskais stāvoklis vērtējams kā labs. Skatīt pielikumā Nr.1. foto fiksāciju.</w:t>
                  </w:r>
                </w:p>
              </w:tc>
            </w:tr>
            <w:tr w14:paraId="601B1DA2">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9F">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5.6.</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A0">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ventilācijas un gaisa kondicionēšanas iekārta</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A1">
                  <w:pPr>
                    <w:jc w:val="center"/>
                    <w:rPr>
                      <w:rFonts w:eastAsia="Times New Roman" w:cs="Times New Roman"/>
                      <w:sz w:val="24"/>
                      <w:szCs w:val="24"/>
                      <w:lang w:eastAsia="lv-LV"/>
                    </w:rPr>
                  </w:pPr>
                  <w:r>
                    <w:rPr>
                      <w:rFonts w:eastAsia="Times New Roman" w:cs="Times New Roman"/>
                      <w:sz w:val="24"/>
                      <w:szCs w:val="24"/>
                      <w:lang w:eastAsia="lv-LV"/>
                    </w:rPr>
                    <w:t>30</w:t>
                  </w:r>
                </w:p>
              </w:tc>
            </w:tr>
            <w:tr w14:paraId="601B1DA4">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601B1DA3">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Ēkā ir daļēji uzstādīti lokāli kondicionieri. Skatīt pielikumā Nr.1. foto fiksāciju.</w:t>
                  </w:r>
                </w:p>
              </w:tc>
            </w:tr>
            <w:tr w14:paraId="601B1DA8">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A5">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5.7.</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A6">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atkritumu vadi un kameras</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A7">
                  <w:pPr>
                    <w:rPr>
                      <w:rFonts w:eastAsia="Times New Roman" w:cs="Times New Roman"/>
                      <w:szCs w:val="28"/>
                      <w:lang w:eastAsia="lv-LV"/>
                    </w:rPr>
                  </w:pPr>
                </w:p>
              </w:tc>
            </w:tr>
            <w:tr w14:paraId="601B1DAA">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601B1DA9">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Ēkā nav atkritumu vadu un kameru.</w:t>
                  </w:r>
                </w:p>
              </w:tc>
            </w:tr>
            <w:tr w14:paraId="601B1DAE">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AB">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5.8.</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AC">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gāzesvadi un iekārtas, gāzes ūdenssildītāji, gāzes apkures katli, gāzes patēriņa skaitītāji</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AD">
                  <w:pPr>
                    <w:rPr>
                      <w:rFonts w:eastAsia="Times New Roman" w:cs="Times New Roman"/>
                      <w:szCs w:val="28"/>
                      <w:lang w:eastAsia="lv-LV"/>
                    </w:rPr>
                  </w:pPr>
                </w:p>
              </w:tc>
            </w:tr>
            <w:tr w14:paraId="601B1DB0">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rPr>
                <w:trHeight w:val="439" w:hRule="atLeast"/>
              </w:trPr>
              <w:tc>
                <w:tcPr>
                  <w:tcW w:w="0" w:type="auto"/>
                  <w:gridSpan w:val="3"/>
                  <w:tcBorders>
                    <w:top w:val="outset" w:color="414142" w:sz="6" w:space="0"/>
                    <w:left w:val="outset" w:color="414142" w:sz="6" w:space="0"/>
                    <w:bottom w:val="outset" w:color="414142" w:sz="6" w:space="0"/>
                    <w:right w:val="outset" w:color="414142" w:sz="6" w:space="0"/>
                  </w:tcBorders>
                  <w:vAlign w:val="center"/>
                </w:tcPr>
                <w:p w14:paraId="601B1DAF">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Ēkā nav gāzes pieslēguma.</w:t>
                  </w:r>
                </w:p>
              </w:tc>
            </w:tr>
            <w:tr w14:paraId="601B1DB4">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B1">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5.9.</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B2">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elektroapgādes sistēma un elektrotehniskās ietaises</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B3">
                  <w:pPr>
                    <w:jc w:val="center"/>
                    <w:rPr>
                      <w:rFonts w:eastAsia="Times New Roman" w:cs="Times New Roman"/>
                      <w:sz w:val="24"/>
                      <w:szCs w:val="24"/>
                      <w:lang w:eastAsia="lv-LV"/>
                    </w:rPr>
                  </w:pPr>
                  <w:r>
                    <w:rPr>
                      <w:rFonts w:eastAsia="Times New Roman" w:cs="Times New Roman"/>
                      <w:sz w:val="24"/>
                      <w:szCs w:val="24"/>
                      <w:lang w:eastAsia="lv-LV"/>
                    </w:rPr>
                    <w:t>30</w:t>
                  </w:r>
                </w:p>
              </w:tc>
            </w:tr>
            <w:tr w14:paraId="601B1DB7">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3045337F">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Galvenā elektroievada un uzskaites telpa atrodas ēkas pagrabstāvā, tehniskajā telpā. Elektrosadalņu tehniskais stāvoklis ir apmierinošs. Pretestības mērījumi ir veikti likumā noteiktajā kārtībā, mērījumu atskaite atrodas saimniecības departamentā, pie galvenā enerģētiķa.</w:t>
                  </w:r>
                </w:p>
                <w:p w14:paraId="601B1DB6">
                  <w:pPr>
                    <w:spacing w:before="100" w:beforeAutospacing="1" w:after="100" w:afterAutospacing="1" w:line="293" w:lineRule="atLeast"/>
                    <w:jc w:val="both"/>
                    <w:rPr>
                      <w:rFonts w:eastAsia="Times New Roman" w:cs="Times New Roman"/>
                      <w:szCs w:val="28"/>
                      <w:lang w:eastAsia="lv-LV"/>
                    </w:rPr>
                  </w:pPr>
                  <w:r>
                    <w:rPr>
                      <w:rFonts w:eastAsia="Times New Roman" w:cs="Times New Roman"/>
                      <w:sz w:val="24"/>
                      <w:szCs w:val="24"/>
                      <w:lang w:eastAsia="lv-LV"/>
                    </w:rPr>
                    <w:t>Ēkas elektroapgādes sistēma ēkā vērtējama kā apmierinoša.</w:t>
                  </w:r>
                </w:p>
              </w:tc>
            </w:tr>
            <w:tr w14:paraId="601B1DBB">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B8">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5.10.</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B9">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apsardzes, signalizācijas, saziņas un citas iekārtas</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BA">
                  <w:pPr>
                    <w:jc w:val="center"/>
                    <w:rPr>
                      <w:rFonts w:eastAsia="Times New Roman" w:cs="Times New Roman"/>
                      <w:sz w:val="24"/>
                      <w:szCs w:val="24"/>
                      <w:lang w:eastAsia="lv-LV"/>
                    </w:rPr>
                  </w:pPr>
                  <w:r>
                    <w:rPr>
                      <w:rFonts w:eastAsia="Times New Roman" w:cs="Times New Roman"/>
                      <w:sz w:val="24"/>
                      <w:szCs w:val="24"/>
                      <w:lang w:eastAsia="lv-LV"/>
                    </w:rPr>
                    <w:t>30</w:t>
                  </w:r>
                </w:p>
              </w:tc>
            </w:tr>
            <w:tr w14:paraId="601B1DBD">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601B1DBC">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 xml:space="preserve">Ēkā ir uzstādīta apsardzes signalizācija, tās tehniskais stāvoklis vērtējams kā apmierinošs. </w:t>
                  </w:r>
                </w:p>
              </w:tc>
            </w:tr>
            <w:tr w14:paraId="601B1DC1">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BE">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5.11.</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BF">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vājstrāvas tīkli un ietaises</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C0">
                  <w:pPr>
                    <w:jc w:val="center"/>
                    <w:rPr>
                      <w:rFonts w:eastAsia="Times New Roman" w:cs="Times New Roman"/>
                      <w:sz w:val="24"/>
                      <w:szCs w:val="24"/>
                      <w:lang w:eastAsia="lv-LV"/>
                    </w:rPr>
                  </w:pPr>
                  <w:r>
                    <w:rPr>
                      <w:rFonts w:eastAsia="Times New Roman" w:cs="Times New Roman"/>
                      <w:sz w:val="24"/>
                      <w:szCs w:val="24"/>
                      <w:lang w:eastAsia="lv-LV"/>
                    </w:rPr>
                    <w:t>30</w:t>
                  </w:r>
                </w:p>
              </w:tc>
            </w:tr>
            <w:tr w14:paraId="601B1DC3">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601B1DC2">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Ēkā ir izbūvēti vājstrāvas tīkli, kas nodrošina interneta pieslēgumu, automātiksās ugunsgrēka atklāšanas sistēmu, kā arī apsardzes sistēmu. Sistēmas darbību nodrošina rezerves barošanas bloks.</w:t>
                  </w:r>
                </w:p>
              </w:tc>
            </w:tr>
            <w:tr w14:paraId="601B1DC7">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C4">
                  <w:pPr>
                    <w:spacing w:before="100" w:beforeAutospacing="1" w:after="100" w:afterAutospacing="1" w:line="293" w:lineRule="atLeast"/>
                    <w:rPr>
                      <w:rFonts w:eastAsia="Times New Roman" w:cs="Times New Roman"/>
                      <w:sz w:val="24"/>
                      <w:szCs w:val="24"/>
                      <w:lang w:eastAsia="lv-LV"/>
                    </w:rPr>
                  </w:pPr>
                  <w:r>
                    <w:rPr>
                      <w:rFonts w:eastAsia="Times New Roman" w:cs="Times New Roman"/>
                      <w:sz w:val="24"/>
                      <w:szCs w:val="24"/>
                      <w:lang w:eastAsia="lv-LV"/>
                    </w:rPr>
                    <w:t>5.12.</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C5">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lifta iekārta</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C6">
                  <w:pPr>
                    <w:jc w:val="center"/>
                    <w:rPr>
                      <w:rFonts w:eastAsia="Times New Roman" w:cs="Times New Roman"/>
                      <w:sz w:val="24"/>
                      <w:szCs w:val="24"/>
                      <w:lang w:eastAsia="lv-LV"/>
                    </w:rPr>
                  </w:pPr>
                  <w:r>
                    <w:rPr>
                      <w:rFonts w:eastAsia="Times New Roman" w:cs="Times New Roman"/>
                      <w:sz w:val="24"/>
                      <w:szCs w:val="24"/>
                      <w:lang w:eastAsia="lv-LV"/>
                    </w:rPr>
                    <w:t>---</w:t>
                  </w:r>
                </w:p>
              </w:tc>
            </w:tr>
            <w:tr w14:paraId="601B1DC9">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601B1DC8">
                  <w:pPr>
                    <w:spacing w:before="100" w:beforeAutospacing="1" w:after="100" w:afterAutospacing="1" w:line="293" w:lineRule="atLeast"/>
                    <w:jc w:val="both"/>
                    <w:rPr>
                      <w:rFonts w:eastAsia="Times New Roman" w:cs="Times New Roman"/>
                      <w:szCs w:val="28"/>
                      <w:lang w:eastAsia="lv-LV"/>
                    </w:rPr>
                  </w:pPr>
                  <w:r>
                    <w:rPr>
                      <w:rFonts w:eastAsia="Times New Roman" w:cs="Times New Roman"/>
                      <w:sz w:val="24"/>
                      <w:szCs w:val="24"/>
                      <w:lang w:eastAsia="lv-LV"/>
                    </w:rPr>
                    <w:t xml:space="preserve">Nav. </w:t>
                  </w:r>
                </w:p>
              </w:tc>
            </w:tr>
            <w:tr w14:paraId="601B1DCD">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CA">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5.13.</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CB">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citas ietaises un iekārtas</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CC">
                  <w:pPr>
                    <w:rPr>
                      <w:rFonts w:eastAsia="Times New Roman" w:cs="Times New Roman"/>
                      <w:szCs w:val="28"/>
                      <w:lang w:eastAsia="lv-LV"/>
                    </w:rPr>
                  </w:pPr>
                </w:p>
              </w:tc>
            </w:tr>
            <w:tr w14:paraId="601B1DCF">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601B1DCE">
                  <w:pPr>
                    <w:rPr>
                      <w:rFonts w:eastAsia="Times New Roman" w:cs="Times New Roman"/>
                      <w:szCs w:val="28"/>
                      <w:lang w:eastAsia="lv-LV"/>
                    </w:rPr>
                  </w:pPr>
                </w:p>
              </w:tc>
            </w:tr>
          </w:tbl>
          <w:p w14:paraId="601B1DD0">
            <w:pPr>
              <w:jc w:val="center"/>
              <w:rPr>
                <w:rFonts w:eastAsia="Times New Roman" w:cs="Times New Roman"/>
                <w:b/>
                <w:bCs/>
                <w:szCs w:val="28"/>
                <w:lang w:eastAsia="lv-LV"/>
              </w:rPr>
            </w:pPr>
          </w:p>
          <w:p w14:paraId="278435F5">
            <w:pPr>
              <w:jc w:val="center"/>
              <w:rPr>
                <w:rFonts w:eastAsia="Times New Roman" w:cs="Times New Roman"/>
                <w:b/>
                <w:bCs/>
                <w:szCs w:val="28"/>
                <w:lang w:eastAsia="lv-LV"/>
              </w:rPr>
            </w:pPr>
          </w:p>
          <w:p w14:paraId="601B1DD1">
            <w:pPr>
              <w:jc w:val="center"/>
              <w:rPr>
                <w:rFonts w:eastAsia="Times New Roman" w:cs="Times New Roman"/>
                <w:b/>
                <w:bCs/>
                <w:szCs w:val="28"/>
                <w:lang w:eastAsia="lv-LV"/>
              </w:rPr>
            </w:pPr>
            <w:r>
              <w:rPr>
                <w:rFonts w:eastAsia="Times New Roman" w:cs="Times New Roman"/>
                <w:b/>
                <w:bCs/>
                <w:szCs w:val="28"/>
                <w:lang w:eastAsia="lv-LV"/>
              </w:rPr>
              <w:t>6. Ārējie inženiertīkli</w:t>
            </w:r>
          </w:p>
          <w:p w14:paraId="601B1DD2">
            <w:pPr>
              <w:jc w:val="center"/>
              <w:rPr>
                <w:rFonts w:eastAsia="Times New Roman" w:cs="Times New Roman"/>
                <w:sz w:val="24"/>
                <w:szCs w:val="24"/>
                <w:lang w:eastAsia="lv-LV"/>
              </w:rPr>
            </w:pPr>
            <w:r>
              <w:rPr>
                <w:rFonts w:eastAsia="Times New Roman" w:cs="Times New Roman"/>
                <w:sz w:val="24"/>
                <w:szCs w:val="24"/>
                <w:lang w:eastAsia="lv-LV"/>
              </w:rPr>
              <w:t>(Ietver tikai tos ārējos inženiertīklus, kas apsekoti atbilstoši apsekošanas uzdevumam)</w:t>
            </w:r>
          </w:p>
          <w:p w14:paraId="601B1DD3">
            <w:pPr>
              <w:jc w:val="center"/>
              <w:rPr>
                <w:rFonts w:eastAsia="Times New Roman" w:cs="Times New Roman"/>
                <w:sz w:val="24"/>
                <w:szCs w:val="24"/>
                <w:lang w:eastAsia="lv-LV"/>
              </w:rPr>
            </w:pPr>
          </w:p>
          <w:tbl>
            <w:tblPr>
              <w:tblStyle w:val="4"/>
              <w:tblW w:w="5000" w:type="pct"/>
              <w:tblInd w:w="0" w:type="dxa"/>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Layout w:type="autofit"/>
              <w:tblCellMar>
                <w:top w:w="45" w:type="dxa"/>
                <w:left w:w="45" w:type="dxa"/>
                <w:bottom w:w="45" w:type="dxa"/>
                <w:right w:w="45" w:type="dxa"/>
              </w:tblCellMar>
            </w:tblPr>
            <w:tblGrid>
              <w:gridCol w:w="906"/>
              <w:gridCol w:w="6339"/>
              <w:gridCol w:w="1811"/>
            </w:tblGrid>
            <w:tr w14:paraId="601B1DD6">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2"/>
                  <w:tcBorders>
                    <w:top w:val="outset" w:color="414142" w:sz="6" w:space="0"/>
                    <w:left w:val="outset" w:color="414142" w:sz="6" w:space="0"/>
                    <w:bottom w:val="outset" w:color="414142" w:sz="6" w:space="0"/>
                    <w:right w:val="outset" w:color="414142" w:sz="6" w:space="0"/>
                  </w:tcBorders>
                  <w:vAlign w:val="center"/>
                </w:tcPr>
                <w:p w14:paraId="601B1DD4">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Apsekošanas objekta vai apsekošanas priekšmeta nosaukums. Īss konstatēto bojājumu un to cēloņu apraksts, tehniskā stāvokļa novērtējums atsevišķiem būves elementiem, konstrukciju veidiem, būves daļām. Atbilstība normatīvo aktu prasībām</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D5">
                  <w:pPr>
                    <w:spacing w:before="100" w:beforeAutospacing="1" w:after="100" w:afterAutospacing="1" w:line="293" w:lineRule="atLeast"/>
                    <w:jc w:val="center"/>
                    <w:rPr>
                      <w:rFonts w:eastAsia="Times New Roman" w:cs="Times New Roman"/>
                      <w:sz w:val="20"/>
                      <w:szCs w:val="20"/>
                      <w:lang w:eastAsia="lv-LV"/>
                    </w:rPr>
                  </w:pPr>
                  <w:r>
                    <w:rPr>
                      <w:rFonts w:eastAsia="Times New Roman" w:cs="Times New Roman"/>
                      <w:sz w:val="20"/>
                      <w:szCs w:val="20"/>
                      <w:lang w:eastAsia="lv-LV"/>
                    </w:rPr>
                    <w:t>Tehniskais nolietojums</w:t>
                  </w:r>
                  <w:r>
                    <w:rPr>
                      <w:rFonts w:eastAsia="Times New Roman" w:cs="Times New Roman"/>
                      <w:sz w:val="20"/>
                      <w:szCs w:val="20"/>
                      <w:lang w:eastAsia="lv-LV"/>
                    </w:rPr>
                    <w:br w:type="textWrapping"/>
                  </w:r>
                  <w:r>
                    <w:rPr>
                      <w:rFonts w:eastAsia="Times New Roman" w:cs="Times New Roman"/>
                      <w:sz w:val="20"/>
                      <w:szCs w:val="20"/>
                      <w:lang w:eastAsia="lv-LV"/>
                    </w:rPr>
                    <w:t>(%)</w:t>
                  </w:r>
                </w:p>
              </w:tc>
            </w:tr>
            <w:tr w14:paraId="601B1DDA">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500" w:type="pct"/>
                  <w:tcBorders>
                    <w:top w:val="outset" w:color="414142" w:sz="6" w:space="0"/>
                    <w:left w:val="outset" w:color="414142" w:sz="6" w:space="0"/>
                    <w:bottom w:val="outset" w:color="414142" w:sz="6" w:space="0"/>
                    <w:right w:val="outset" w:color="414142" w:sz="6" w:space="0"/>
                  </w:tcBorders>
                  <w:vAlign w:val="center"/>
                </w:tcPr>
                <w:p w14:paraId="601B1DD7">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6.1.</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D8">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ūdensapgāde</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D9">
                  <w:pPr>
                    <w:jc w:val="center"/>
                    <w:rPr>
                      <w:rFonts w:eastAsia="Times New Roman" w:cs="Times New Roman"/>
                      <w:sz w:val="24"/>
                      <w:szCs w:val="24"/>
                      <w:lang w:eastAsia="lv-LV"/>
                    </w:rPr>
                  </w:pPr>
                  <w:r>
                    <w:rPr>
                      <w:rFonts w:eastAsia="Times New Roman" w:cs="Times New Roman"/>
                      <w:sz w:val="24"/>
                      <w:szCs w:val="24"/>
                      <w:lang w:eastAsia="lv-LV"/>
                    </w:rPr>
                    <w:t>30</w:t>
                  </w:r>
                </w:p>
              </w:tc>
            </w:tr>
            <w:tr w14:paraId="601B1DDC">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5FD5EB3D">
                  <w:pPr>
                    <w:spacing w:before="100" w:beforeAutospacing="1" w:after="100" w:afterAutospacing="1" w:line="293" w:lineRule="atLeast"/>
                    <w:rPr>
                      <w:rFonts w:eastAsia="Times New Roman" w:cs="Times New Roman"/>
                      <w:sz w:val="24"/>
                      <w:szCs w:val="24"/>
                      <w:lang w:eastAsia="lv-LV"/>
                    </w:rPr>
                  </w:pPr>
                  <w:r>
                    <w:rPr>
                      <w:rFonts w:eastAsia="Times New Roman" w:cs="Times New Roman"/>
                      <w:sz w:val="24"/>
                      <w:szCs w:val="24"/>
                      <w:lang w:eastAsia="lv-LV"/>
                    </w:rPr>
                    <w:t xml:space="preserve">Ūdens apgāde ēkā tiek nodrošināta no pilsētas centrālā udensapgādes tīkla. Ūdens ievads un uzskaites mezgls atrodas ēkas pagrabstāvā, tehniskajā telpā – siltummezglā. </w:t>
                  </w:r>
                </w:p>
                <w:p w14:paraId="601B1DDB">
                  <w:pPr>
                    <w:spacing w:before="100" w:beforeAutospacing="1" w:after="100" w:afterAutospacing="1" w:line="293" w:lineRule="atLeast"/>
                    <w:jc w:val="both"/>
                    <w:rPr>
                      <w:rFonts w:eastAsia="Times New Roman" w:cs="Times New Roman"/>
                      <w:szCs w:val="28"/>
                      <w:lang w:eastAsia="lv-LV"/>
                    </w:rPr>
                  </w:pPr>
                  <w:r>
                    <w:rPr>
                      <w:rFonts w:eastAsia="Times New Roman" w:cs="Times New Roman"/>
                      <w:sz w:val="24"/>
                      <w:szCs w:val="24"/>
                      <w:lang w:eastAsia="lv-LV"/>
                    </w:rPr>
                    <w:t>Ūdens ievada un uzskaites mezgla tehniskais stāvoklis vērtējams kā apmierinošs.</w:t>
                  </w:r>
                </w:p>
              </w:tc>
            </w:tr>
            <w:tr w14:paraId="601B1DE0">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PrEx>
              <w:tc>
                <w:tcPr>
                  <w:tcW w:w="0" w:type="auto"/>
                  <w:tcBorders>
                    <w:top w:val="outset" w:color="414142" w:sz="6" w:space="0"/>
                    <w:left w:val="outset" w:color="414142" w:sz="6" w:space="0"/>
                    <w:bottom w:val="outset" w:color="414142" w:sz="6" w:space="0"/>
                    <w:right w:val="outset" w:color="414142" w:sz="6" w:space="0"/>
                  </w:tcBorders>
                  <w:vAlign w:val="center"/>
                </w:tcPr>
                <w:p w14:paraId="601B1DDD">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6.2.</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DE">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kanalizācija</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DF">
                  <w:pPr>
                    <w:jc w:val="center"/>
                    <w:rPr>
                      <w:rFonts w:eastAsia="Times New Roman" w:cs="Times New Roman"/>
                      <w:sz w:val="24"/>
                      <w:szCs w:val="24"/>
                      <w:lang w:eastAsia="lv-LV"/>
                    </w:rPr>
                  </w:pPr>
                  <w:r>
                    <w:rPr>
                      <w:rFonts w:eastAsia="Times New Roman" w:cs="Times New Roman"/>
                      <w:sz w:val="24"/>
                      <w:szCs w:val="24"/>
                      <w:lang w:eastAsia="lv-LV"/>
                    </w:rPr>
                    <w:t>30</w:t>
                  </w:r>
                </w:p>
              </w:tc>
            </w:tr>
            <w:tr w14:paraId="601B1DE2">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18752A96">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Ēkas saimnieciskā kanalizācija ir pieslēgta pie pilsētas kopējā kanalizācijas tīkla.</w:t>
                  </w:r>
                </w:p>
                <w:p w14:paraId="601B1DE1">
                  <w:pPr>
                    <w:spacing w:before="100" w:beforeAutospacing="1" w:after="100" w:afterAutospacing="1" w:line="293" w:lineRule="atLeast"/>
                    <w:jc w:val="both"/>
                    <w:rPr>
                      <w:rFonts w:eastAsia="Times New Roman" w:cs="Times New Roman"/>
                      <w:szCs w:val="28"/>
                      <w:lang w:eastAsia="lv-LV"/>
                    </w:rPr>
                  </w:pPr>
                  <w:r>
                    <w:rPr>
                      <w:rFonts w:eastAsia="Times New Roman" w:cs="Times New Roman"/>
                      <w:sz w:val="24"/>
                      <w:szCs w:val="24"/>
                      <w:lang w:eastAsia="lv-LV"/>
                    </w:rPr>
                    <w:t>Ārējās kanalizācijas sistēmas tehniskais stāvoklis vērtējams kā apmierinošs.</w:t>
                  </w:r>
                </w:p>
              </w:tc>
            </w:tr>
            <w:tr w14:paraId="601B1DE6">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E3">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6.3.</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E4">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drenāžas sistēmas</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E5">
                  <w:pPr>
                    <w:jc w:val="center"/>
                    <w:rPr>
                      <w:rFonts w:eastAsia="Times New Roman" w:cs="Times New Roman"/>
                      <w:sz w:val="24"/>
                      <w:szCs w:val="24"/>
                      <w:lang w:eastAsia="lv-LV"/>
                    </w:rPr>
                  </w:pPr>
                  <w:r>
                    <w:rPr>
                      <w:rFonts w:eastAsia="Times New Roman" w:cs="Times New Roman"/>
                      <w:sz w:val="24"/>
                      <w:szCs w:val="24"/>
                      <w:lang w:eastAsia="lv-LV"/>
                    </w:rPr>
                    <w:t>30</w:t>
                  </w:r>
                </w:p>
              </w:tc>
            </w:tr>
            <w:tr w14:paraId="601B1DE8">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rPr>
                <w:trHeight w:val="430" w:hRule="atLeast"/>
              </w:trPr>
              <w:tc>
                <w:tcPr>
                  <w:tcW w:w="0" w:type="auto"/>
                  <w:gridSpan w:val="3"/>
                  <w:tcBorders>
                    <w:top w:val="outset" w:color="414142" w:sz="6" w:space="0"/>
                    <w:left w:val="outset" w:color="414142" w:sz="6" w:space="0"/>
                    <w:bottom w:val="outset" w:color="414142" w:sz="6" w:space="0"/>
                    <w:right w:val="outset" w:color="414142" w:sz="6" w:space="0"/>
                  </w:tcBorders>
                  <w:vAlign w:val="center"/>
                </w:tcPr>
                <w:p w14:paraId="6812645F">
                  <w:pPr>
                    <w:rPr>
                      <w:rFonts w:eastAsia="Times New Roman" w:cs="Times New Roman"/>
                      <w:sz w:val="24"/>
                      <w:szCs w:val="24"/>
                      <w:lang w:eastAsia="lv-LV"/>
                    </w:rPr>
                  </w:pPr>
                  <w:r>
                    <w:rPr>
                      <w:rFonts w:eastAsia="Times New Roman" w:cs="Times New Roman"/>
                      <w:sz w:val="24"/>
                      <w:szCs w:val="24"/>
                      <w:lang w:eastAsia="lv-LV"/>
                    </w:rPr>
                    <w:t xml:space="preserve">Gar ēkas perimetru ir izbūvēta drenāžas sistēma. Lietus kanalizācija no ēkas jumtiem un automašīnu stāvlaukuma tiek novadīta kopējā pilsētas lietus kanalizācijas tīklā. </w:t>
                  </w:r>
                </w:p>
                <w:p w14:paraId="601B1DE7">
                  <w:pPr>
                    <w:rPr>
                      <w:rFonts w:eastAsia="Times New Roman" w:cs="Times New Roman"/>
                      <w:sz w:val="24"/>
                      <w:szCs w:val="24"/>
                      <w:lang w:eastAsia="lv-LV"/>
                    </w:rPr>
                  </w:pPr>
                  <w:r>
                    <w:rPr>
                      <w:rFonts w:eastAsia="Times New Roman" w:cs="Times New Roman"/>
                      <w:sz w:val="24"/>
                      <w:szCs w:val="24"/>
                      <w:lang w:eastAsia="lv-LV"/>
                    </w:rPr>
                    <w:t>Lietus kanalizācijas tīklu tehniskais stāvoklis vērtējams kā apmierinošs.</w:t>
                  </w:r>
                </w:p>
              </w:tc>
            </w:tr>
            <w:tr w14:paraId="601B1DEC">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E9">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6.4.</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EA">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siltumapgāde</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EB">
                  <w:pPr>
                    <w:jc w:val="center"/>
                    <w:rPr>
                      <w:rFonts w:eastAsia="Times New Roman" w:cs="Times New Roman"/>
                      <w:sz w:val="24"/>
                      <w:szCs w:val="24"/>
                      <w:lang w:eastAsia="lv-LV"/>
                    </w:rPr>
                  </w:pPr>
                  <w:r>
                    <w:rPr>
                      <w:rFonts w:eastAsia="Times New Roman" w:cs="Times New Roman"/>
                      <w:sz w:val="24"/>
                      <w:szCs w:val="24"/>
                      <w:lang w:eastAsia="lv-LV"/>
                    </w:rPr>
                    <w:t>30</w:t>
                  </w:r>
                </w:p>
              </w:tc>
            </w:tr>
            <w:tr w14:paraId="601B1DEE">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23AE8A02">
                  <w:pPr>
                    <w:spacing w:before="100" w:beforeAutospacing="1" w:after="100" w:afterAutospacing="1" w:line="293" w:lineRule="atLeast"/>
                    <w:rPr>
                      <w:rFonts w:eastAsia="Times New Roman" w:cs="Times New Roman"/>
                      <w:sz w:val="24"/>
                      <w:szCs w:val="24"/>
                      <w:lang w:eastAsia="lv-LV"/>
                    </w:rPr>
                  </w:pPr>
                  <w:r>
                    <w:rPr>
                      <w:rFonts w:eastAsia="Times New Roman" w:cs="Times New Roman"/>
                      <w:sz w:val="24"/>
                      <w:szCs w:val="24"/>
                      <w:lang w:eastAsia="lv-LV"/>
                    </w:rPr>
                    <w:t xml:space="preserve">Ēkas siltumapgāde tiek nodrošināta centralizēti no pilsētas kopējā siltumapgādes tīkla. Siltumapgādes ievads atrodas ēkas pagrabstāvā, tehniskajā telpā – siltummezglā. </w:t>
                  </w:r>
                </w:p>
                <w:p w14:paraId="601B1DED">
                  <w:pPr>
                    <w:spacing w:before="100" w:beforeAutospacing="1" w:after="100" w:afterAutospacing="1" w:line="293" w:lineRule="atLeast"/>
                    <w:rPr>
                      <w:rFonts w:eastAsia="Times New Roman" w:cs="Times New Roman"/>
                      <w:sz w:val="24"/>
                      <w:szCs w:val="24"/>
                      <w:lang w:eastAsia="lv-LV"/>
                    </w:rPr>
                  </w:pPr>
                  <w:r>
                    <w:rPr>
                      <w:rFonts w:eastAsia="Times New Roman" w:cs="Times New Roman"/>
                      <w:sz w:val="24"/>
                      <w:szCs w:val="24"/>
                      <w:lang w:eastAsia="lv-LV"/>
                    </w:rPr>
                    <w:t>Siltumtīklu tehniskais stāvoklis vērtējams kā apmierinošs.</w:t>
                  </w:r>
                </w:p>
              </w:tc>
            </w:tr>
            <w:tr w14:paraId="601B1DF2">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EF">
                  <w:pPr>
                    <w:spacing w:before="100" w:beforeAutospacing="1" w:after="100" w:afterAutospacing="1" w:line="293" w:lineRule="atLeast"/>
                    <w:rPr>
                      <w:rFonts w:eastAsia="Times New Roman" w:cs="Times New Roman"/>
                      <w:sz w:val="24"/>
                      <w:szCs w:val="24"/>
                      <w:lang w:eastAsia="lv-LV"/>
                    </w:rPr>
                  </w:pPr>
                  <w:r>
                    <w:rPr>
                      <w:rFonts w:eastAsia="Times New Roman" w:cs="Times New Roman"/>
                      <w:sz w:val="24"/>
                      <w:szCs w:val="24"/>
                      <w:lang w:eastAsia="lv-LV"/>
                    </w:rPr>
                    <w:t>6.5.</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F0">
                  <w:pPr>
                    <w:spacing w:before="100" w:beforeAutospacing="1" w:after="100" w:afterAutospacing="1" w:line="293" w:lineRule="atLeast"/>
                    <w:rPr>
                      <w:rFonts w:eastAsia="Times New Roman" w:cs="Times New Roman"/>
                      <w:sz w:val="24"/>
                      <w:szCs w:val="24"/>
                      <w:lang w:eastAsia="lv-LV"/>
                    </w:rPr>
                  </w:pPr>
                  <w:r>
                    <w:rPr>
                      <w:rFonts w:eastAsia="Times New Roman" w:cs="Times New Roman"/>
                      <w:sz w:val="24"/>
                      <w:szCs w:val="24"/>
                      <w:lang w:eastAsia="lv-LV"/>
                    </w:rPr>
                    <w:t>gāzes apgāde</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F1">
                  <w:pPr>
                    <w:rPr>
                      <w:rFonts w:eastAsia="Times New Roman" w:cs="Times New Roman"/>
                      <w:szCs w:val="28"/>
                      <w:lang w:eastAsia="lv-LV"/>
                    </w:rPr>
                  </w:pPr>
                </w:p>
              </w:tc>
            </w:tr>
            <w:tr w14:paraId="601B1DF4">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rPr>
                <w:trHeight w:val="259" w:hRule="atLeast"/>
              </w:trPr>
              <w:tc>
                <w:tcPr>
                  <w:tcW w:w="0" w:type="auto"/>
                  <w:gridSpan w:val="3"/>
                  <w:tcBorders>
                    <w:top w:val="outset" w:color="414142" w:sz="6" w:space="0"/>
                    <w:left w:val="outset" w:color="414142" w:sz="6" w:space="0"/>
                    <w:bottom w:val="outset" w:color="414142" w:sz="6" w:space="0"/>
                    <w:right w:val="outset" w:color="414142" w:sz="6" w:space="0"/>
                  </w:tcBorders>
                  <w:vAlign w:val="center"/>
                </w:tcPr>
                <w:p w14:paraId="601B1DF3">
                  <w:pPr>
                    <w:spacing w:before="100" w:beforeAutospacing="1" w:after="100" w:afterAutospacing="1" w:line="293" w:lineRule="atLeast"/>
                    <w:rPr>
                      <w:rFonts w:eastAsia="Times New Roman" w:cs="Times New Roman"/>
                      <w:sz w:val="24"/>
                      <w:szCs w:val="24"/>
                      <w:lang w:eastAsia="lv-LV"/>
                    </w:rPr>
                  </w:pPr>
                  <w:r>
                    <w:rPr>
                      <w:rFonts w:eastAsia="Times New Roman" w:cs="Times New Roman"/>
                      <w:sz w:val="24"/>
                      <w:szCs w:val="24"/>
                      <w:lang w:eastAsia="lv-LV"/>
                    </w:rPr>
                    <w:t>Ēkai nav gāzes apgādes tīkla.</w:t>
                  </w:r>
                </w:p>
              </w:tc>
            </w:tr>
            <w:tr w14:paraId="601B1DF8">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F5">
                  <w:pPr>
                    <w:spacing w:before="100" w:beforeAutospacing="1" w:after="100" w:afterAutospacing="1" w:line="293" w:lineRule="atLeast"/>
                    <w:rPr>
                      <w:rFonts w:eastAsia="Times New Roman" w:cs="Times New Roman"/>
                      <w:sz w:val="24"/>
                      <w:szCs w:val="24"/>
                      <w:lang w:eastAsia="lv-LV"/>
                    </w:rPr>
                  </w:pPr>
                  <w:r>
                    <w:rPr>
                      <w:rFonts w:eastAsia="Times New Roman" w:cs="Times New Roman"/>
                      <w:sz w:val="24"/>
                      <w:szCs w:val="24"/>
                      <w:lang w:eastAsia="lv-LV"/>
                    </w:rPr>
                    <w:t>6.6.</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F6">
                  <w:pPr>
                    <w:spacing w:before="100" w:beforeAutospacing="1" w:after="100" w:afterAutospacing="1" w:line="293" w:lineRule="atLeast"/>
                    <w:rPr>
                      <w:rFonts w:eastAsia="Times New Roman" w:cs="Times New Roman"/>
                      <w:sz w:val="24"/>
                      <w:szCs w:val="24"/>
                      <w:lang w:eastAsia="lv-LV"/>
                    </w:rPr>
                  </w:pPr>
                  <w:r>
                    <w:rPr>
                      <w:rFonts w:eastAsia="Times New Roman" w:cs="Times New Roman"/>
                      <w:sz w:val="24"/>
                      <w:szCs w:val="24"/>
                      <w:lang w:eastAsia="lv-LV"/>
                    </w:rPr>
                    <w:t>zibensaizsardzība</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F7">
                  <w:pPr>
                    <w:jc w:val="center"/>
                    <w:rPr>
                      <w:rFonts w:eastAsia="Times New Roman" w:cs="Times New Roman"/>
                      <w:sz w:val="24"/>
                      <w:szCs w:val="24"/>
                      <w:lang w:eastAsia="lv-LV"/>
                    </w:rPr>
                  </w:pPr>
                  <w:r>
                    <w:rPr>
                      <w:rFonts w:eastAsia="Times New Roman" w:cs="Times New Roman"/>
                      <w:sz w:val="24"/>
                      <w:szCs w:val="24"/>
                      <w:lang w:eastAsia="lv-LV"/>
                    </w:rPr>
                    <w:t>30</w:t>
                  </w:r>
                </w:p>
              </w:tc>
            </w:tr>
            <w:tr w14:paraId="601B1DFA">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rPr>
                <w:trHeight w:val="412" w:hRule="atLeast"/>
              </w:trPr>
              <w:tc>
                <w:tcPr>
                  <w:tcW w:w="0" w:type="auto"/>
                  <w:gridSpan w:val="3"/>
                  <w:tcBorders>
                    <w:top w:val="outset" w:color="414142" w:sz="6" w:space="0"/>
                    <w:left w:val="outset" w:color="414142" w:sz="6" w:space="0"/>
                    <w:bottom w:val="outset" w:color="414142" w:sz="6" w:space="0"/>
                    <w:right w:val="outset" w:color="414142" w:sz="6" w:space="0"/>
                  </w:tcBorders>
                  <w:vAlign w:val="center"/>
                </w:tcPr>
                <w:p w14:paraId="2AF55B27">
                  <w:pPr>
                    <w:rPr>
                      <w:rFonts w:eastAsia="Times New Roman" w:cs="Times New Roman"/>
                      <w:sz w:val="24"/>
                      <w:szCs w:val="24"/>
                      <w:lang w:eastAsia="lv-LV"/>
                    </w:rPr>
                  </w:pPr>
                  <w:r>
                    <w:rPr>
                      <w:rFonts w:eastAsia="Times New Roman" w:cs="Times New Roman"/>
                      <w:sz w:val="24"/>
                      <w:szCs w:val="24"/>
                      <w:lang w:eastAsia="lv-LV"/>
                    </w:rPr>
                    <w:t>Ēkai ir uzstādīta zibens aizsardzības sistēma. Skatīt pielikumā Nr.1. foto fiksāciju.</w:t>
                  </w:r>
                </w:p>
                <w:p w14:paraId="601B1DF9">
                  <w:pPr>
                    <w:rPr>
                      <w:rFonts w:eastAsia="Times New Roman" w:cs="Times New Roman"/>
                      <w:sz w:val="24"/>
                      <w:szCs w:val="24"/>
                      <w:lang w:eastAsia="lv-LV"/>
                    </w:rPr>
                  </w:pPr>
                  <w:r>
                    <w:rPr>
                      <w:rFonts w:eastAsia="Times New Roman" w:cs="Times New Roman"/>
                      <w:sz w:val="24"/>
                      <w:szCs w:val="24"/>
                      <w:lang w:eastAsia="lv-LV"/>
                    </w:rPr>
                    <w:t>Ēkas zibens aizsardzības sistēma vērtējama kā apmierinoša</w:t>
                  </w:r>
                </w:p>
              </w:tc>
            </w:tr>
            <w:tr w14:paraId="601B1DFE">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FB">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6.7.</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FC">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citas sistēmas</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FD">
                  <w:pPr>
                    <w:rPr>
                      <w:rFonts w:eastAsia="Times New Roman" w:cs="Times New Roman"/>
                      <w:szCs w:val="28"/>
                      <w:lang w:eastAsia="lv-LV"/>
                    </w:rPr>
                  </w:pPr>
                </w:p>
              </w:tc>
            </w:tr>
            <w:tr w14:paraId="601B1E00">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601B1DFF">
                  <w:pPr>
                    <w:rPr>
                      <w:rFonts w:eastAsia="Times New Roman" w:cs="Times New Roman"/>
                      <w:szCs w:val="28"/>
                      <w:lang w:eastAsia="lv-LV"/>
                    </w:rPr>
                  </w:pPr>
                </w:p>
              </w:tc>
            </w:tr>
          </w:tbl>
          <w:p w14:paraId="601B1E01">
            <w:pPr>
              <w:spacing w:before="100" w:beforeAutospacing="1" w:after="100" w:afterAutospacing="1" w:line="293" w:lineRule="atLeast"/>
              <w:ind w:firstLine="300"/>
              <w:jc w:val="center"/>
              <w:rPr>
                <w:rFonts w:eastAsia="Times New Roman" w:cs="Times New Roman"/>
                <w:b/>
                <w:bCs/>
                <w:szCs w:val="28"/>
                <w:lang w:eastAsia="lv-LV"/>
              </w:rPr>
            </w:pPr>
            <w:r>
              <w:rPr>
                <w:rFonts w:eastAsia="Times New Roman" w:cs="Times New Roman"/>
                <w:b/>
                <w:bCs/>
                <w:szCs w:val="28"/>
                <w:lang w:eastAsia="lv-LV"/>
              </w:rPr>
              <w:t>7. Kopsavilkums</w:t>
            </w:r>
          </w:p>
          <w:tbl>
            <w:tblPr>
              <w:tblStyle w:val="4"/>
              <w:tblW w:w="5000" w:type="pct"/>
              <w:tblInd w:w="0" w:type="dxa"/>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Layout w:type="autofit"/>
              <w:tblCellMar>
                <w:top w:w="45" w:type="dxa"/>
                <w:left w:w="45" w:type="dxa"/>
                <w:bottom w:w="45" w:type="dxa"/>
                <w:right w:w="45" w:type="dxa"/>
              </w:tblCellMar>
            </w:tblPr>
            <w:tblGrid>
              <w:gridCol w:w="906"/>
              <w:gridCol w:w="8150"/>
            </w:tblGrid>
            <w:tr w14:paraId="601B1E04">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500" w:type="pct"/>
                  <w:tcBorders>
                    <w:top w:val="outset" w:color="414142" w:sz="6" w:space="0"/>
                    <w:left w:val="outset" w:color="414142" w:sz="6" w:space="0"/>
                    <w:bottom w:val="outset" w:color="414142" w:sz="6" w:space="0"/>
                    <w:right w:val="outset" w:color="414142" w:sz="6" w:space="0"/>
                  </w:tcBorders>
                  <w:vAlign w:val="center"/>
                </w:tcPr>
                <w:p w14:paraId="601B1E02">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7.1.</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E03">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būves tehniskais nolietojums</w:t>
                  </w:r>
                </w:p>
              </w:tc>
            </w:tr>
            <w:tr w14:paraId="601B1E07">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2"/>
                  <w:tcBorders>
                    <w:top w:val="outset" w:color="414142" w:sz="6" w:space="0"/>
                    <w:left w:val="outset" w:color="414142" w:sz="6" w:space="0"/>
                    <w:bottom w:val="outset" w:color="414142" w:sz="6" w:space="0"/>
                    <w:right w:val="outset" w:color="414142" w:sz="6" w:space="0"/>
                  </w:tcBorders>
                  <w:vAlign w:val="center"/>
                </w:tcPr>
                <w:p w14:paraId="508B8279">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 xml:space="preserve">Ēkas tehnisko rādītāju un ar tiem saistīto citu ekspluatācijas rādītāju stāvokļa pasliktināšanās pakāpe noteiktā laika momentā attiecībā pret jaunu būvi dabas, klimatisko un laika faktoru ietekmē, kā arī cilvēku darbības dēļ uz apsekošanas brīdi uz visu ēku sastāda vidēji 36%. </w:t>
                  </w:r>
                </w:p>
                <w:p w14:paraId="48853801">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 xml:space="preserve"> Būves vizuālās apsekošanas laikā netika konstatētas ēkas nesošo konstrukciju  deformācijas, plaisas vai citi bojājumi, no kā var secināt, ka konstatētais, galveno nesošo konstrukciju tehniskais stāvoklis atbilst BL (Būvniecības Likuma) 9. panta 1. punkta prasībām par mehānisko stiprību un stabilitāti, un ēka ir piemērota tālākai ekspluatācijai. Apsekotās ēkas norobežojošās konstrukcijas atbilst LBN 002-15 “Ēku norobežojošo konstrukciju siltumtehnika” prasībām. </w:t>
                  </w:r>
                </w:p>
                <w:p w14:paraId="601B1E06">
                  <w:pPr>
                    <w:spacing w:before="100" w:beforeAutospacing="1" w:after="100" w:afterAutospacing="1" w:line="293" w:lineRule="atLeast"/>
                    <w:jc w:val="both"/>
                    <w:rPr>
                      <w:rFonts w:eastAsia="Times New Roman" w:cs="Times New Roman"/>
                      <w:szCs w:val="28"/>
                      <w:lang w:eastAsia="lv-LV"/>
                    </w:rPr>
                  </w:pPr>
                  <w:r>
                    <w:rPr>
                      <w:rFonts w:eastAsia="Times New Roman" w:cs="Times New Roman"/>
                      <w:sz w:val="24"/>
                      <w:szCs w:val="24"/>
                      <w:lang w:eastAsia="lv-LV"/>
                    </w:rPr>
                    <w:t xml:space="preserve"> Ēkas plānojums un iekārtojums, kā arī izmantošanas apstākļi atbilst mūsdienu labiekārtojuma prasībām.</w:t>
                  </w:r>
                </w:p>
              </w:tc>
            </w:tr>
            <w:tr w14:paraId="601B1E0A">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E08">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7.2.</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E09">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secinājumi un ieteikumi</w:t>
                  </w:r>
                </w:p>
              </w:tc>
            </w:tr>
            <w:tr w14:paraId="601B1E0C">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2"/>
                  <w:tcBorders>
                    <w:top w:val="outset" w:color="414142" w:sz="6" w:space="0"/>
                    <w:left w:val="outset" w:color="414142" w:sz="6" w:space="0"/>
                    <w:bottom w:val="outset" w:color="414142" w:sz="6" w:space="0"/>
                    <w:right w:val="outset" w:color="414142" w:sz="6" w:space="0"/>
                  </w:tcBorders>
                  <w:vAlign w:val="center"/>
                </w:tcPr>
                <w:p w14:paraId="75DFB4B9">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 xml:space="preserve">1. Būves ekspluatācijas laikā pievērst uzmanību jumta seguma tehniskam stāvoklim. </w:t>
                  </w:r>
                </w:p>
                <w:p w14:paraId="4B7F86D2">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 xml:space="preserve">2. Ir  nepieciešams ieplānot tuvākajā nākotnē veikt šādu darbus, ievērojot pastāvošos Latvijas būvnormatīvus: </w:t>
                  </w:r>
                </w:p>
                <w:p w14:paraId="11C80D5D">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 xml:space="preserve">1) jumta seguma nomaiņu/atjaunošanu, lai nodrošinātu tā hermētiskumu, kā arī jumta lietusūdens novadsistēmas sakārtošanu, </w:t>
                  </w:r>
                </w:p>
                <w:p w14:paraId="73DEDDA4">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2) veikt ēkas siltināšanu,</w:t>
                  </w:r>
                </w:p>
                <w:p w14:paraId="5FAED80F">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3) Nokrāsot jumta kāpņu konstrukcijas,</w:t>
                  </w:r>
                </w:p>
                <w:p w14:paraId="02DA8982">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4) veikt fasādes lokālu vietu remontu, kā arī visas fasādes mazgāšanu un pārkrāsošanu, lai nepieļautu fasādes apdares stāvokļa pasliktināšanos,</w:t>
                  </w:r>
                </w:p>
                <w:p w14:paraId="6F42F9E2">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5) veikt ēkas cokola daļas remontu,</w:t>
                  </w:r>
                </w:p>
                <w:p w14:paraId="686F10B0">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6) nodrošināt ēkas ugunsdrošības prasības.</w:t>
                  </w:r>
                </w:p>
                <w:p w14:paraId="601B1E0B">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 xml:space="preserve"> </w:t>
                  </w:r>
                </w:p>
              </w:tc>
            </w:tr>
          </w:tbl>
          <w:p w14:paraId="601B1E13">
            <w:pPr>
              <w:pStyle w:val="14"/>
              <w:spacing w:before="100" w:beforeAutospacing="1" w:after="100" w:afterAutospacing="1" w:line="293" w:lineRule="atLeast"/>
              <w:ind w:left="0"/>
              <w:rPr>
                <w:rFonts w:eastAsia="Times New Roman" w:cs="Times New Roman"/>
                <w:sz w:val="24"/>
                <w:szCs w:val="24"/>
                <w:lang w:eastAsia="lv-LV"/>
              </w:rPr>
            </w:pPr>
            <w:r>
              <w:rPr>
                <w:rFonts w:eastAsia="Times New Roman" w:cs="Times New Roman"/>
                <w:sz w:val="24"/>
                <w:szCs w:val="24"/>
                <w:lang w:eastAsia="lv-LV"/>
              </w:rPr>
              <w:t>Tehniskā apsekošana veikta no 2023. gada 23., 27.novembrī.</w:t>
            </w:r>
          </w:p>
          <w:p w14:paraId="4C1439B2">
            <w:pPr>
              <w:pStyle w:val="14"/>
              <w:spacing w:before="100" w:beforeAutospacing="1" w:after="100" w:afterAutospacing="1" w:line="293" w:lineRule="atLeast"/>
              <w:ind w:left="0"/>
              <w:rPr>
                <w:rFonts w:eastAsia="Times New Roman" w:cs="Times New Roman"/>
                <w:szCs w:val="28"/>
                <w:lang w:eastAsia="lv-LV"/>
              </w:rPr>
            </w:pPr>
          </w:p>
          <w:tbl>
            <w:tblPr>
              <w:tblStyle w:val="4"/>
              <w:tblW w:w="5000" w:type="pct"/>
              <w:tblInd w:w="0" w:type="dxa"/>
              <w:tblLayout w:type="autofit"/>
              <w:tblCellMar>
                <w:top w:w="45" w:type="dxa"/>
                <w:left w:w="45" w:type="dxa"/>
                <w:bottom w:w="45" w:type="dxa"/>
                <w:right w:w="45" w:type="dxa"/>
              </w:tblCellMar>
            </w:tblPr>
            <w:tblGrid>
              <w:gridCol w:w="9071"/>
            </w:tblGrid>
            <w:tr w14:paraId="601B1E15">
              <w:tblPrEx>
                <w:tblCellMar>
                  <w:top w:w="45" w:type="dxa"/>
                  <w:left w:w="45" w:type="dxa"/>
                  <w:bottom w:w="45" w:type="dxa"/>
                  <w:right w:w="45" w:type="dxa"/>
                </w:tblCellMar>
              </w:tblPrEx>
              <w:tc>
                <w:tcPr>
                  <w:tcW w:w="0" w:type="auto"/>
                  <w:tcBorders>
                    <w:top w:val="nil"/>
                    <w:left w:val="nil"/>
                    <w:bottom w:val="single" w:color="414142" w:sz="6" w:space="0"/>
                    <w:right w:val="nil"/>
                  </w:tcBorders>
                </w:tcPr>
                <w:p w14:paraId="601B1E14">
                  <w:pPr>
                    <w:rPr>
                      <w:rFonts w:eastAsia="Times New Roman" w:cs="Times New Roman"/>
                      <w:sz w:val="24"/>
                      <w:szCs w:val="24"/>
                      <w:lang w:eastAsia="lv-LV"/>
                    </w:rPr>
                  </w:pPr>
                  <w:r>
                    <w:rPr>
                      <w:sz w:val="24"/>
                      <w:szCs w:val="24"/>
                    </w:rPr>
                    <w:t xml:space="preserve"> Haralds Dombrovskis,  būvprakses sertifikāti Nr. 4-02908, Nr. 5-02094.</w:t>
                  </w:r>
                </w:p>
              </w:tc>
            </w:tr>
            <w:tr w14:paraId="601B1E17">
              <w:tblPrEx>
                <w:tblCellMar>
                  <w:top w:w="45" w:type="dxa"/>
                  <w:left w:w="45" w:type="dxa"/>
                  <w:bottom w:w="45" w:type="dxa"/>
                  <w:right w:w="45" w:type="dxa"/>
                </w:tblCellMar>
              </w:tblPrEx>
              <w:tc>
                <w:tcPr>
                  <w:tcW w:w="0" w:type="auto"/>
                  <w:tcBorders>
                    <w:top w:val="single" w:color="414142" w:sz="6" w:space="0"/>
                    <w:left w:val="nil"/>
                    <w:bottom w:val="nil"/>
                    <w:right w:val="nil"/>
                  </w:tcBorders>
                </w:tcPr>
                <w:p w14:paraId="7341ACA7">
                  <w:pPr>
                    <w:spacing w:before="100" w:beforeAutospacing="1" w:after="100" w:afterAutospacing="1" w:line="293" w:lineRule="atLeast"/>
                    <w:jc w:val="center"/>
                    <w:rPr>
                      <w:sz w:val="24"/>
                      <w:szCs w:val="24"/>
                    </w:rPr>
                  </w:pPr>
                  <w:r>
                    <w:rPr>
                      <w:sz w:val="24"/>
                      <w:szCs w:val="24"/>
                    </w:rPr>
                    <w:t>(izpildītāja paraksts (vārds, uzvārds, sertifikāta numurs))</w:t>
                  </w:r>
                </w:p>
                <w:p w14:paraId="601B1E16">
                  <w:pPr>
                    <w:spacing w:before="100" w:beforeAutospacing="1" w:after="100" w:afterAutospacing="1" w:line="293" w:lineRule="atLeast"/>
                    <w:jc w:val="center"/>
                    <w:rPr>
                      <w:rFonts w:eastAsia="Times New Roman" w:cs="Times New Roman"/>
                      <w:sz w:val="24"/>
                      <w:szCs w:val="24"/>
                      <w:lang w:eastAsia="lv-LV"/>
                    </w:rPr>
                  </w:pPr>
                </w:p>
              </w:tc>
            </w:tr>
            <w:tr w14:paraId="601B1E19">
              <w:tblPrEx>
                <w:tblCellMar>
                  <w:top w:w="45" w:type="dxa"/>
                  <w:left w:w="45" w:type="dxa"/>
                  <w:bottom w:w="45" w:type="dxa"/>
                  <w:right w:w="45" w:type="dxa"/>
                </w:tblCellMar>
              </w:tblPrEx>
              <w:tc>
                <w:tcPr>
                  <w:tcW w:w="0" w:type="auto"/>
                  <w:tcBorders>
                    <w:top w:val="nil"/>
                    <w:left w:val="nil"/>
                    <w:bottom w:val="single" w:color="414142" w:sz="6" w:space="0"/>
                    <w:right w:val="nil"/>
                  </w:tcBorders>
                </w:tcPr>
                <w:p w14:paraId="601B1E18">
                  <w:pPr>
                    <w:rPr>
                      <w:rFonts w:eastAsia="Times New Roman" w:cs="Times New Roman"/>
                      <w:sz w:val="24"/>
                      <w:szCs w:val="24"/>
                      <w:lang w:eastAsia="lv-LV"/>
                    </w:rPr>
                  </w:pPr>
                  <w:r>
                    <w:rPr>
                      <w:sz w:val="24"/>
                      <w:szCs w:val="24"/>
                    </w:rPr>
                    <w:t xml:space="preserve"> SIA “RTU Servisu aģentūra” valdes loceklis Sergejs Jurins</w:t>
                  </w:r>
                </w:p>
              </w:tc>
            </w:tr>
            <w:tr w14:paraId="601B1E1C">
              <w:tblPrEx>
                <w:tblCellMar>
                  <w:top w:w="45" w:type="dxa"/>
                  <w:left w:w="45" w:type="dxa"/>
                  <w:bottom w:w="45" w:type="dxa"/>
                  <w:right w:w="45" w:type="dxa"/>
                </w:tblCellMar>
              </w:tblPrEx>
              <w:tc>
                <w:tcPr>
                  <w:tcW w:w="0" w:type="auto"/>
                  <w:tcBorders>
                    <w:top w:val="single" w:color="414142" w:sz="6" w:space="0"/>
                    <w:left w:val="nil"/>
                    <w:bottom w:val="nil"/>
                    <w:right w:val="nil"/>
                  </w:tcBorders>
                </w:tcPr>
                <w:p w14:paraId="601B1E1B">
                  <w:pPr>
                    <w:spacing w:before="100" w:beforeAutospacing="1" w:after="100" w:afterAutospacing="1" w:line="293" w:lineRule="atLeast"/>
                    <w:jc w:val="center"/>
                    <w:rPr>
                      <w:rFonts w:eastAsia="Times New Roman" w:cs="Times New Roman"/>
                      <w:sz w:val="24"/>
                      <w:szCs w:val="24"/>
                      <w:lang w:eastAsia="lv-LV"/>
                    </w:rPr>
                  </w:pPr>
                  <w:r>
                    <w:rPr>
                      <w:sz w:val="24"/>
                      <w:szCs w:val="24"/>
                    </w:rPr>
                    <w:t>(juridiskās personas vadītāja vārds, uzvārds un paraksts)</w:t>
                  </w:r>
                </w:p>
              </w:tc>
            </w:tr>
          </w:tbl>
          <w:p w14:paraId="601B1E1D">
            <w:pPr>
              <w:jc w:val="right"/>
              <w:rPr>
                <w:rFonts w:eastAsia="Times New Roman" w:cs="Times New Roman"/>
                <w:szCs w:val="28"/>
                <w:lang w:eastAsia="lv-LV"/>
              </w:rPr>
            </w:pPr>
          </w:p>
        </w:tc>
      </w:tr>
    </w:tbl>
    <w:p w14:paraId="36D3F4C7"/>
    <w:p w14:paraId="49AA78A5">
      <w:pPr>
        <w:spacing w:after="160" w:line="259" w:lineRule="auto"/>
      </w:pPr>
      <w:r>
        <w:br w:type="page"/>
      </w:r>
    </w:p>
    <w:p w14:paraId="42A23952">
      <w:pPr>
        <w:jc w:val="center"/>
        <w:rPr>
          <w:rFonts w:eastAsia="Times New Roman" w:cs="Times New Roman"/>
          <w:b/>
          <w:bCs/>
          <w:szCs w:val="28"/>
          <w:lang w:eastAsia="lv-LV"/>
        </w:rPr>
      </w:pPr>
      <w:r>
        <w:rPr>
          <w:rFonts w:eastAsia="Times New Roman" w:cs="Times New Roman"/>
          <w:b/>
          <w:bCs/>
          <w:szCs w:val="28"/>
          <w:lang w:eastAsia="lv-LV"/>
        </w:rPr>
        <w:t>Pielikums Nr.1</w:t>
      </w:r>
    </w:p>
    <w:p w14:paraId="643BF429">
      <w:pPr>
        <w:jc w:val="center"/>
        <w:rPr>
          <w:rFonts w:eastAsia="Times New Roman" w:cs="Times New Roman"/>
          <w:b/>
          <w:bCs/>
          <w:szCs w:val="28"/>
          <w:lang w:eastAsia="lv-LV"/>
        </w:rPr>
      </w:pPr>
      <w:r>
        <w:rPr>
          <w:rFonts w:eastAsia="Times New Roman" w:cs="Times New Roman"/>
          <w:b/>
          <w:bCs/>
          <w:szCs w:val="28"/>
          <w:lang w:eastAsia="lv-LV"/>
        </w:rPr>
        <w:t>Fotofiksācija</w:t>
      </w:r>
    </w:p>
    <w:p w14:paraId="159D2503">
      <w:pPr>
        <w:jc w:val="center"/>
        <w:rPr>
          <w:rFonts w:eastAsia="Times New Roman" w:cs="Times New Roman"/>
          <w:b/>
          <w:bCs/>
          <w:szCs w:val="28"/>
          <w:lang w:eastAsia="lv-LV"/>
        </w:rPr>
      </w:pPr>
    </w:p>
    <w:p w14:paraId="7E3CD96F">
      <w:pPr>
        <w:jc w:val="center"/>
        <w:rPr>
          <w:rFonts w:eastAsia="Times New Roman" w:cs="Times New Roman"/>
          <w:b/>
          <w:bCs/>
          <w:szCs w:val="28"/>
          <w:lang w:eastAsia="lv-LV"/>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14:paraId="3F8E9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6E5B4C64">
            <w:pPr>
              <w:jc w:val="center"/>
              <w:rPr>
                <w:rFonts w:eastAsia="Times New Roman" w:cs="Times New Roman"/>
                <w:b/>
                <w:bCs/>
                <w:szCs w:val="28"/>
                <w:lang w:eastAsia="lv-LV"/>
              </w:rPr>
            </w:pPr>
            <w:r>
              <w:drawing>
                <wp:inline distT="0" distB="0" distL="0" distR="0">
                  <wp:extent cx="4876800" cy="2743200"/>
                  <wp:effectExtent l="0" t="0" r="0" b="0"/>
                  <wp:docPr id="98911577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115776" name="Picture 51"/>
                          <pic:cNvPicPr>
                            <a:picLocks noChangeAspect="1" noChangeArrowheads="1"/>
                          </pic:cNvPicPr>
                        </pic:nvPicPr>
                        <pic:blipFill>
                          <a:blip r:embed="rId10" cstate="print"/>
                          <a:srcRect/>
                          <a:stretch>
                            <a:fillRect/>
                          </a:stretch>
                        </pic:blipFill>
                        <pic:spPr>
                          <a:xfrm>
                            <a:off x="0" y="0"/>
                            <a:ext cx="4877218" cy="2743200"/>
                          </a:xfrm>
                          <a:prstGeom prst="rect">
                            <a:avLst/>
                          </a:prstGeom>
                          <a:noFill/>
                          <a:ln>
                            <a:noFill/>
                          </a:ln>
                        </pic:spPr>
                      </pic:pic>
                    </a:graphicData>
                  </a:graphic>
                </wp:inline>
              </w:drawing>
            </w:r>
          </w:p>
        </w:tc>
      </w:tr>
      <w:tr w14:paraId="04C76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5BFFF0D8">
            <w:pPr>
              <w:jc w:val="center"/>
              <w:rPr>
                <w:rFonts w:eastAsia="Times New Roman" w:cs="Times New Roman"/>
                <w:b/>
                <w:bCs/>
                <w:szCs w:val="28"/>
                <w:lang w:eastAsia="lv-LV"/>
              </w:rPr>
            </w:pPr>
            <w:r>
              <w:rPr>
                <w:rStyle w:val="17"/>
                <w:b/>
                <w:sz w:val="20"/>
                <w:szCs w:val="20"/>
              </w:rPr>
              <w:t>1.att.:</w:t>
            </w:r>
            <w:r>
              <w:rPr>
                <w:rStyle w:val="17"/>
                <w:i/>
                <w:sz w:val="20"/>
                <w:szCs w:val="20"/>
              </w:rPr>
              <w:t xml:space="preserve"> Sētas iela 1, Rīga (ēkas fasāde)</w:t>
            </w:r>
          </w:p>
        </w:tc>
      </w:tr>
      <w:tr w14:paraId="57C4D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70611739">
            <w:pPr>
              <w:jc w:val="center"/>
              <w:rPr>
                <w:rFonts w:eastAsia="Times New Roman" w:cs="Times New Roman"/>
                <w:b/>
                <w:bCs/>
                <w:szCs w:val="28"/>
                <w:lang w:eastAsia="lv-LV"/>
              </w:rPr>
            </w:pPr>
            <w:r>
              <w:drawing>
                <wp:inline distT="0" distB="0" distL="0" distR="0">
                  <wp:extent cx="4876800" cy="2743200"/>
                  <wp:effectExtent l="0" t="0" r="0" b="0"/>
                  <wp:docPr id="211204969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049694" name="Picture 52"/>
                          <pic:cNvPicPr>
                            <a:picLocks noChangeAspect="1" noChangeArrowheads="1"/>
                          </pic:cNvPicPr>
                        </pic:nvPicPr>
                        <pic:blipFill>
                          <a:blip r:embed="rId11" cstate="print"/>
                          <a:srcRect/>
                          <a:stretch>
                            <a:fillRect/>
                          </a:stretch>
                        </pic:blipFill>
                        <pic:spPr>
                          <a:xfrm rot="5400000">
                            <a:off x="0" y="0"/>
                            <a:ext cx="4877218" cy="2743200"/>
                          </a:xfrm>
                          <a:prstGeom prst="rect">
                            <a:avLst/>
                          </a:prstGeom>
                          <a:noFill/>
                          <a:ln>
                            <a:noFill/>
                          </a:ln>
                        </pic:spPr>
                      </pic:pic>
                    </a:graphicData>
                  </a:graphic>
                </wp:inline>
              </w:drawing>
            </w:r>
          </w:p>
        </w:tc>
      </w:tr>
      <w:tr w14:paraId="7C2BA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35E06266">
            <w:pPr>
              <w:jc w:val="center"/>
              <w:rPr>
                <w:rFonts w:eastAsia="Times New Roman" w:cs="Times New Roman"/>
                <w:b/>
                <w:bCs/>
                <w:szCs w:val="28"/>
                <w:lang w:eastAsia="lv-LV"/>
              </w:rPr>
            </w:pPr>
            <w:r>
              <w:rPr>
                <w:rStyle w:val="17"/>
                <w:b/>
                <w:sz w:val="20"/>
                <w:szCs w:val="20"/>
              </w:rPr>
              <w:t>2.att.:</w:t>
            </w:r>
            <w:r>
              <w:rPr>
                <w:rStyle w:val="17"/>
                <w:i/>
                <w:sz w:val="20"/>
                <w:szCs w:val="20"/>
              </w:rPr>
              <w:t xml:space="preserve"> Sētas iela 1, Rīga (ēkas fasāde)</w:t>
            </w:r>
          </w:p>
        </w:tc>
      </w:tr>
      <w:tr w14:paraId="51CB9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3217B01A">
            <w:pPr>
              <w:jc w:val="center"/>
              <w:rPr>
                <w:rFonts w:eastAsia="Times New Roman" w:cs="Times New Roman"/>
                <w:b/>
                <w:bCs/>
                <w:szCs w:val="28"/>
                <w:lang w:eastAsia="lv-LV"/>
              </w:rPr>
            </w:pPr>
            <w:r>
              <w:drawing>
                <wp:inline distT="0" distB="0" distL="0" distR="0">
                  <wp:extent cx="3656965" cy="2743200"/>
                  <wp:effectExtent l="0" t="0" r="635" b="0"/>
                  <wp:docPr id="198242343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23435" name="Picture 54"/>
                          <pic:cNvPicPr>
                            <a:picLocks noChangeAspect="1" noChangeArrowheads="1"/>
                          </pic:cNvPicPr>
                        </pic:nvPicPr>
                        <pic:blipFill>
                          <a:blip r:embed="rId12" cstate="print"/>
                          <a:srcRect/>
                          <a:stretch>
                            <a:fillRect/>
                          </a:stretch>
                        </pic:blipFill>
                        <pic:spPr>
                          <a:xfrm>
                            <a:off x="0" y="0"/>
                            <a:ext cx="3657197" cy="2743200"/>
                          </a:xfrm>
                          <a:prstGeom prst="rect">
                            <a:avLst/>
                          </a:prstGeom>
                          <a:noFill/>
                          <a:ln>
                            <a:noFill/>
                          </a:ln>
                        </pic:spPr>
                      </pic:pic>
                    </a:graphicData>
                  </a:graphic>
                </wp:inline>
              </w:drawing>
            </w:r>
          </w:p>
        </w:tc>
      </w:tr>
      <w:tr w14:paraId="66F7D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0BC02FD6">
            <w:pPr>
              <w:jc w:val="center"/>
              <w:rPr>
                <w:rFonts w:eastAsia="Times New Roman" w:cs="Times New Roman"/>
                <w:b/>
                <w:bCs/>
                <w:szCs w:val="28"/>
                <w:lang w:eastAsia="lv-LV"/>
              </w:rPr>
            </w:pPr>
            <w:r>
              <w:rPr>
                <w:rStyle w:val="17"/>
                <w:b/>
                <w:sz w:val="20"/>
                <w:szCs w:val="20"/>
              </w:rPr>
              <w:t>3.att.:</w:t>
            </w:r>
            <w:r>
              <w:rPr>
                <w:rStyle w:val="17"/>
                <w:i/>
                <w:sz w:val="20"/>
                <w:szCs w:val="20"/>
              </w:rPr>
              <w:t xml:space="preserve"> Sētas iela 1, Rīga (ēkas fasāde)</w:t>
            </w:r>
          </w:p>
        </w:tc>
      </w:tr>
      <w:tr w14:paraId="6B577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4DDB2641">
            <w:pPr>
              <w:jc w:val="center"/>
              <w:rPr>
                <w:rFonts w:eastAsia="Times New Roman" w:cs="Times New Roman"/>
                <w:b/>
                <w:bCs/>
                <w:szCs w:val="28"/>
                <w:lang w:eastAsia="lv-LV"/>
              </w:rPr>
            </w:pPr>
            <w:r>
              <w:drawing>
                <wp:inline distT="0" distB="0" distL="0" distR="0">
                  <wp:extent cx="4876800" cy="2743200"/>
                  <wp:effectExtent l="0" t="0" r="0" b="0"/>
                  <wp:docPr id="100346423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64236" name="Picture 53"/>
                          <pic:cNvPicPr>
                            <a:picLocks noChangeAspect="1" noChangeArrowheads="1"/>
                          </pic:cNvPicPr>
                        </pic:nvPicPr>
                        <pic:blipFill>
                          <a:blip r:embed="rId13" cstate="print"/>
                          <a:srcRect/>
                          <a:stretch>
                            <a:fillRect/>
                          </a:stretch>
                        </pic:blipFill>
                        <pic:spPr>
                          <a:xfrm rot="5400000">
                            <a:off x="0" y="0"/>
                            <a:ext cx="4877218" cy="2743200"/>
                          </a:xfrm>
                          <a:prstGeom prst="rect">
                            <a:avLst/>
                          </a:prstGeom>
                          <a:noFill/>
                          <a:ln>
                            <a:noFill/>
                          </a:ln>
                        </pic:spPr>
                      </pic:pic>
                    </a:graphicData>
                  </a:graphic>
                </wp:inline>
              </w:drawing>
            </w:r>
          </w:p>
        </w:tc>
      </w:tr>
      <w:tr w14:paraId="595CD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15FB00DD">
            <w:pPr>
              <w:jc w:val="center"/>
              <w:rPr>
                <w:rFonts w:eastAsia="Times New Roman" w:cs="Times New Roman"/>
                <w:b/>
                <w:bCs/>
                <w:szCs w:val="28"/>
                <w:lang w:eastAsia="lv-LV"/>
              </w:rPr>
            </w:pPr>
            <w:r>
              <w:rPr>
                <w:rStyle w:val="17"/>
                <w:b/>
                <w:sz w:val="20"/>
                <w:szCs w:val="20"/>
              </w:rPr>
              <w:t>4.att.:</w:t>
            </w:r>
            <w:r>
              <w:rPr>
                <w:rStyle w:val="17"/>
                <w:i/>
                <w:sz w:val="20"/>
                <w:szCs w:val="20"/>
              </w:rPr>
              <w:t xml:space="preserve"> Sētas iela 1, Rīga (ēkas fasāde)</w:t>
            </w:r>
          </w:p>
        </w:tc>
      </w:tr>
      <w:tr w14:paraId="19530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73D3A44D">
            <w:pPr>
              <w:jc w:val="center"/>
              <w:rPr>
                <w:rStyle w:val="17"/>
                <w:b/>
                <w:sz w:val="20"/>
                <w:szCs w:val="20"/>
              </w:rPr>
            </w:pPr>
          </w:p>
        </w:tc>
      </w:tr>
      <w:tr w14:paraId="68D65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21162000">
            <w:pPr>
              <w:jc w:val="center"/>
              <w:rPr>
                <w:rStyle w:val="17"/>
                <w:b/>
                <w:sz w:val="20"/>
                <w:szCs w:val="20"/>
              </w:rPr>
            </w:pPr>
            <w:r>
              <w:rPr>
                <w:rStyle w:val="17"/>
                <w:b/>
                <w:sz w:val="20"/>
                <w:szCs w:val="20"/>
              </w:rPr>
              <w:t>5.att.:</w:t>
            </w:r>
            <w:r>
              <w:rPr>
                <w:rStyle w:val="17"/>
                <w:i/>
                <w:sz w:val="20"/>
                <w:szCs w:val="20"/>
              </w:rPr>
              <w:t xml:space="preserve"> Sētas iela 1, Rīga (ēkas fasāde)</w:t>
            </w:r>
          </w:p>
        </w:tc>
      </w:tr>
      <w:tr w14:paraId="722FC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0127E2AD">
            <w:pPr>
              <w:jc w:val="center"/>
              <w:rPr>
                <w:rStyle w:val="17"/>
                <w:b/>
                <w:sz w:val="20"/>
                <w:szCs w:val="20"/>
              </w:rPr>
            </w:pPr>
            <w:r>
              <w:drawing>
                <wp:inline distT="0" distB="0" distL="0" distR="0">
                  <wp:extent cx="3656965" cy="2743200"/>
                  <wp:effectExtent l="0" t="0" r="635" b="0"/>
                  <wp:docPr id="129547661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476614" name="Picture 42"/>
                          <pic:cNvPicPr>
                            <a:picLocks noChangeAspect="1" noChangeArrowheads="1"/>
                          </pic:cNvPicPr>
                        </pic:nvPicPr>
                        <pic:blipFill>
                          <a:blip r:embed="rId14" cstate="print"/>
                          <a:srcRect/>
                          <a:stretch>
                            <a:fillRect/>
                          </a:stretch>
                        </pic:blipFill>
                        <pic:spPr>
                          <a:xfrm>
                            <a:off x="0" y="0"/>
                            <a:ext cx="3657197" cy="2743200"/>
                          </a:xfrm>
                          <a:prstGeom prst="rect">
                            <a:avLst/>
                          </a:prstGeom>
                          <a:noFill/>
                          <a:ln>
                            <a:noFill/>
                          </a:ln>
                        </pic:spPr>
                      </pic:pic>
                    </a:graphicData>
                  </a:graphic>
                </wp:inline>
              </w:drawing>
            </w:r>
          </w:p>
        </w:tc>
      </w:tr>
      <w:tr w14:paraId="38F9A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2E421A59">
            <w:pPr>
              <w:jc w:val="center"/>
              <w:rPr>
                <w:rStyle w:val="17"/>
                <w:b/>
                <w:sz w:val="20"/>
                <w:szCs w:val="20"/>
              </w:rPr>
            </w:pPr>
            <w:r>
              <w:rPr>
                <w:rStyle w:val="17"/>
                <w:b/>
                <w:sz w:val="20"/>
                <w:szCs w:val="20"/>
              </w:rPr>
              <w:t>6.att.:</w:t>
            </w:r>
            <w:r>
              <w:rPr>
                <w:rStyle w:val="17"/>
                <w:i/>
                <w:sz w:val="20"/>
                <w:szCs w:val="20"/>
              </w:rPr>
              <w:t xml:space="preserve"> Sētas iela 1, Rīga (ailas pārsedze)</w:t>
            </w:r>
          </w:p>
        </w:tc>
      </w:tr>
      <w:tr w14:paraId="278AA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5C8CFB1F">
            <w:pPr>
              <w:jc w:val="center"/>
              <w:rPr>
                <w:rStyle w:val="17"/>
                <w:b/>
                <w:sz w:val="20"/>
                <w:szCs w:val="20"/>
              </w:rPr>
            </w:pPr>
            <w:r>
              <w:drawing>
                <wp:inline distT="0" distB="0" distL="0" distR="0">
                  <wp:extent cx="3656965" cy="2743200"/>
                  <wp:effectExtent l="0" t="0" r="635" b="0"/>
                  <wp:docPr id="4890790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07904" name="Picture 41"/>
                          <pic:cNvPicPr>
                            <a:picLocks noChangeAspect="1" noChangeArrowheads="1"/>
                          </pic:cNvPicPr>
                        </pic:nvPicPr>
                        <pic:blipFill>
                          <a:blip r:embed="rId15" cstate="print"/>
                          <a:srcRect/>
                          <a:stretch>
                            <a:fillRect/>
                          </a:stretch>
                        </pic:blipFill>
                        <pic:spPr>
                          <a:xfrm>
                            <a:off x="0" y="0"/>
                            <a:ext cx="3657197" cy="2743200"/>
                          </a:xfrm>
                          <a:prstGeom prst="rect">
                            <a:avLst/>
                          </a:prstGeom>
                          <a:noFill/>
                          <a:ln>
                            <a:noFill/>
                          </a:ln>
                        </pic:spPr>
                      </pic:pic>
                    </a:graphicData>
                  </a:graphic>
                </wp:inline>
              </w:drawing>
            </w:r>
          </w:p>
        </w:tc>
      </w:tr>
      <w:tr w14:paraId="4558E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0DB073D8">
            <w:pPr>
              <w:jc w:val="center"/>
              <w:rPr>
                <w:rStyle w:val="17"/>
                <w:b/>
                <w:sz w:val="20"/>
                <w:szCs w:val="20"/>
              </w:rPr>
            </w:pPr>
            <w:r>
              <w:rPr>
                <w:rStyle w:val="17"/>
                <w:b/>
                <w:sz w:val="20"/>
                <w:szCs w:val="20"/>
              </w:rPr>
              <w:t>7.att.:</w:t>
            </w:r>
            <w:r>
              <w:rPr>
                <w:rStyle w:val="17"/>
                <w:i/>
                <w:sz w:val="20"/>
                <w:szCs w:val="20"/>
              </w:rPr>
              <w:t xml:space="preserve"> Sētas iela 1, Rīga (ēkas fasāde)</w:t>
            </w:r>
          </w:p>
        </w:tc>
      </w:tr>
      <w:tr w14:paraId="1C2D2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7FD4A78F">
            <w:pPr>
              <w:jc w:val="center"/>
              <w:rPr>
                <w:rStyle w:val="17"/>
                <w:b/>
                <w:sz w:val="20"/>
                <w:szCs w:val="20"/>
              </w:rPr>
            </w:pPr>
            <w:r>
              <w:drawing>
                <wp:inline distT="0" distB="0" distL="0" distR="0">
                  <wp:extent cx="3656965" cy="2743200"/>
                  <wp:effectExtent l="0" t="0" r="635" b="0"/>
                  <wp:docPr id="106203405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34051" name="Picture 40"/>
                          <pic:cNvPicPr>
                            <a:picLocks noChangeAspect="1" noChangeArrowheads="1"/>
                          </pic:cNvPicPr>
                        </pic:nvPicPr>
                        <pic:blipFill>
                          <a:blip r:embed="rId16" cstate="print"/>
                          <a:srcRect/>
                          <a:stretch>
                            <a:fillRect/>
                          </a:stretch>
                        </pic:blipFill>
                        <pic:spPr>
                          <a:xfrm>
                            <a:off x="0" y="0"/>
                            <a:ext cx="3657197" cy="2743200"/>
                          </a:xfrm>
                          <a:prstGeom prst="rect">
                            <a:avLst/>
                          </a:prstGeom>
                          <a:noFill/>
                          <a:ln>
                            <a:noFill/>
                          </a:ln>
                        </pic:spPr>
                      </pic:pic>
                    </a:graphicData>
                  </a:graphic>
                </wp:inline>
              </w:drawing>
            </w:r>
          </w:p>
        </w:tc>
      </w:tr>
      <w:tr w14:paraId="4A21C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6121009F">
            <w:pPr>
              <w:jc w:val="center"/>
              <w:rPr>
                <w:rStyle w:val="17"/>
                <w:b/>
                <w:sz w:val="20"/>
                <w:szCs w:val="20"/>
              </w:rPr>
            </w:pPr>
            <w:r>
              <w:rPr>
                <w:rStyle w:val="17"/>
                <w:b/>
                <w:sz w:val="20"/>
                <w:szCs w:val="20"/>
              </w:rPr>
              <w:t>8.att.:</w:t>
            </w:r>
            <w:r>
              <w:rPr>
                <w:rStyle w:val="17"/>
                <w:i/>
                <w:sz w:val="20"/>
                <w:szCs w:val="20"/>
              </w:rPr>
              <w:t xml:space="preserve"> Sētas iela 1, Rīga (fasāde)</w:t>
            </w:r>
          </w:p>
        </w:tc>
      </w:tr>
      <w:tr w14:paraId="6ACE1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0C9FD57F">
            <w:pPr>
              <w:jc w:val="center"/>
              <w:rPr>
                <w:rStyle w:val="17"/>
                <w:b/>
                <w:sz w:val="20"/>
                <w:szCs w:val="20"/>
              </w:rPr>
            </w:pPr>
            <w:r>
              <w:drawing>
                <wp:inline distT="0" distB="0" distL="0" distR="0">
                  <wp:extent cx="3656965" cy="2743200"/>
                  <wp:effectExtent l="0" t="0" r="635" b="0"/>
                  <wp:docPr id="26960079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00791" name="Picture 39"/>
                          <pic:cNvPicPr>
                            <a:picLocks noChangeAspect="1" noChangeArrowheads="1"/>
                          </pic:cNvPicPr>
                        </pic:nvPicPr>
                        <pic:blipFill>
                          <a:blip r:embed="rId17" cstate="print"/>
                          <a:srcRect/>
                          <a:stretch>
                            <a:fillRect/>
                          </a:stretch>
                        </pic:blipFill>
                        <pic:spPr>
                          <a:xfrm>
                            <a:off x="0" y="0"/>
                            <a:ext cx="3657197" cy="2743200"/>
                          </a:xfrm>
                          <a:prstGeom prst="rect">
                            <a:avLst/>
                          </a:prstGeom>
                          <a:noFill/>
                          <a:ln>
                            <a:noFill/>
                          </a:ln>
                        </pic:spPr>
                      </pic:pic>
                    </a:graphicData>
                  </a:graphic>
                </wp:inline>
              </w:drawing>
            </w:r>
          </w:p>
        </w:tc>
      </w:tr>
      <w:tr w14:paraId="5EB78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7F2F9016">
            <w:pPr>
              <w:jc w:val="center"/>
              <w:rPr>
                <w:rStyle w:val="17"/>
                <w:b/>
                <w:sz w:val="20"/>
                <w:szCs w:val="20"/>
              </w:rPr>
            </w:pPr>
            <w:r>
              <w:rPr>
                <w:rStyle w:val="17"/>
                <w:b/>
                <w:sz w:val="20"/>
                <w:szCs w:val="20"/>
              </w:rPr>
              <w:t>9.att.:</w:t>
            </w:r>
            <w:r>
              <w:rPr>
                <w:rStyle w:val="17"/>
                <w:i/>
                <w:sz w:val="20"/>
                <w:szCs w:val="20"/>
              </w:rPr>
              <w:t xml:space="preserve"> Sētas iela 1, Rīga (pāreja)</w:t>
            </w:r>
          </w:p>
        </w:tc>
      </w:tr>
      <w:tr w14:paraId="6F828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41BFA0A4">
            <w:pPr>
              <w:jc w:val="center"/>
              <w:rPr>
                <w:rStyle w:val="17"/>
                <w:b/>
                <w:sz w:val="20"/>
                <w:szCs w:val="20"/>
              </w:rPr>
            </w:pPr>
            <w:r>
              <w:drawing>
                <wp:inline distT="0" distB="0" distL="0" distR="0">
                  <wp:extent cx="3656965" cy="2743200"/>
                  <wp:effectExtent l="0" t="0" r="635" b="0"/>
                  <wp:docPr id="201849410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494109" name="Picture 38"/>
                          <pic:cNvPicPr>
                            <a:picLocks noChangeAspect="1" noChangeArrowheads="1"/>
                          </pic:cNvPicPr>
                        </pic:nvPicPr>
                        <pic:blipFill>
                          <a:blip r:embed="rId18" cstate="print"/>
                          <a:srcRect/>
                          <a:stretch>
                            <a:fillRect/>
                          </a:stretch>
                        </pic:blipFill>
                        <pic:spPr>
                          <a:xfrm>
                            <a:off x="0" y="0"/>
                            <a:ext cx="3657197" cy="2743200"/>
                          </a:xfrm>
                          <a:prstGeom prst="rect">
                            <a:avLst/>
                          </a:prstGeom>
                          <a:noFill/>
                          <a:ln>
                            <a:noFill/>
                          </a:ln>
                        </pic:spPr>
                      </pic:pic>
                    </a:graphicData>
                  </a:graphic>
                </wp:inline>
              </w:drawing>
            </w:r>
          </w:p>
        </w:tc>
      </w:tr>
      <w:tr w14:paraId="4C305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7C9DC8E1">
            <w:pPr>
              <w:jc w:val="center"/>
              <w:rPr>
                <w:rStyle w:val="17"/>
                <w:b/>
                <w:sz w:val="20"/>
                <w:szCs w:val="20"/>
              </w:rPr>
            </w:pPr>
            <w:r>
              <w:rPr>
                <w:rStyle w:val="17"/>
                <w:b/>
                <w:sz w:val="20"/>
                <w:szCs w:val="20"/>
              </w:rPr>
              <w:t>10.att.:</w:t>
            </w:r>
            <w:r>
              <w:rPr>
                <w:rStyle w:val="17"/>
                <w:i/>
                <w:sz w:val="20"/>
                <w:szCs w:val="20"/>
              </w:rPr>
              <w:t xml:space="preserve"> Sētas iela 1, Rīga (jumta konstrukcija)</w:t>
            </w:r>
          </w:p>
        </w:tc>
      </w:tr>
      <w:tr w14:paraId="444E4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7539C52D">
            <w:pPr>
              <w:jc w:val="center"/>
              <w:rPr>
                <w:rStyle w:val="17"/>
                <w:b/>
                <w:sz w:val="20"/>
                <w:szCs w:val="20"/>
              </w:rPr>
            </w:pPr>
            <w:r>
              <w:drawing>
                <wp:inline distT="0" distB="0" distL="0" distR="0">
                  <wp:extent cx="3656965" cy="2743200"/>
                  <wp:effectExtent l="0" t="0" r="635" b="0"/>
                  <wp:docPr id="10419674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967410" name="Picture 11"/>
                          <pic:cNvPicPr>
                            <a:picLocks noChangeAspect="1" noChangeArrowheads="1"/>
                          </pic:cNvPicPr>
                        </pic:nvPicPr>
                        <pic:blipFill>
                          <a:blip r:embed="rId19" cstate="print"/>
                          <a:srcRect/>
                          <a:stretch>
                            <a:fillRect/>
                          </a:stretch>
                        </pic:blipFill>
                        <pic:spPr>
                          <a:xfrm>
                            <a:off x="0" y="0"/>
                            <a:ext cx="3657197" cy="2743200"/>
                          </a:xfrm>
                          <a:prstGeom prst="rect">
                            <a:avLst/>
                          </a:prstGeom>
                          <a:noFill/>
                          <a:ln>
                            <a:noFill/>
                          </a:ln>
                        </pic:spPr>
                      </pic:pic>
                    </a:graphicData>
                  </a:graphic>
                </wp:inline>
              </w:drawing>
            </w:r>
          </w:p>
        </w:tc>
      </w:tr>
      <w:tr w14:paraId="149E1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0A770F99">
            <w:pPr>
              <w:jc w:val="center"/>
              <w:rPr>
                <w:rStyle w:val="17"/>
                <w:b/>
                <w:sz w:val="20"/>
                <w:szCs w:val="20"/>
              </w:rPr>
            </w:pPr>
            <w:r>
              <w:rPr>
                <w:rStyle w:val="17"/>
                <w:b/>
                <w:sz w:val="20"/>
                <w:szCs w:val="20"/>
              </w:rPr>
              <w:t>11.att.:</w:t>
            </w:r>
            <w:r>
              <w:rPr>
                <w:rStyle w:val="17"/>
                <w:i/>
                <w:sz w:val="20"/>
                <w:szCs w:val="20"/>
              </w:rPr>
              <w:t xml:space="preserve"> Sētas iela 1, Rīga (jumta konstrukcija)</w:t>
            </w:r>
          </w:p>
        </w:tc>
      </w:tr>
      <w:tr w14:paraId="45278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6545E322">
            <w:pPr>
              <w:jc w:val="center"/>
              <w:rPr>
                <w:rStyle w:val="17"/>
                <w:b/>
                <w:sz w:val="20"/>
                <w:szCs w:val="20"/>
              </w:rPr>
            </w:pPr>
            <w:r>
              <w:drawing>
                <wp:inline distT="0" distB="0" distL="0" distR="0">
                  <wp:extent cx="3656965" cy="2743200"/>
                  <wp:effectExtent l="0" t="0" r="635" b="0"/>
                  <wp:docPr id="131296201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962011" name="Picture 36"/>
                          <pic:cNvPicPr>
                            <a:picLocks noChangeAspect="1" noChangeArrowheads="1"/>
                          </pic:cNvPicPr>
                        </pic:nvPicPr>
                        <pic:blipFill>
                          <a:blip r:embed="rId20" cstate="print"/>
                          <a:srcRect/>
                          <a:stretch>
                            <a:fillRect/>
                          </a:stretch>
                        </pic:blipFill>
                        <pic:spPr>
                          <a:xfrm>
                            <a:off x="0" y="0"/>
                            <a:ext cx="3657197" cy="2743200"/>
                          </a:xfrm>
                          <a:prstGeom prst="rect">
                            <a:avLst/>
                          </a:prstGeom>
                          <a:noFill/>
                          <a:ln>
                            <a:noFill/>
                          </a:ln>
                        </pic:spPr>
                      </pic:pic>
                    </a:graphicData>
                  </a:graphic>
                </wp:inline>
              </w:drawing>
            </w:r>
          </w:p>
        </w:tc>
      </w:tr>
      <w:tr w14:paraId="7CD18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1948116F">
            <w:pPr>
              <w:jc w:val="center"/>
              <w:rPr>
                <w:rStyle w:val="17"/>
                <w:b/>
                <w:sz w:val="20"/>
                <w:szCs w:val="20"/>
              </w:rPr>
            </w:pPr>
            <w:r>
              <w:rPr>
                <w:rStyle w:val="17"/>
                <w:b/>
                <w:sz w:val="20"/>
                <w:szCs w:val="20"/>
              </w:rPr>
              <w:t>12.att.:</w:t>
            </w:r>
            <w:r>
              <w:rPr>
                <w:rStyle w:val="17"/>
                <w:i/>
                <w:sz w:val="20"/>
                <w:szCs w:val="20"/>
              </w:rPr>
              <w:t xml:space="preserve"> Sētas iela 1, Rīga (jumta konstrukcija)</w:t>
            </w:r>
          </w:p>
        </w:tc>
      </w:tr>
      <w:tr w14:paraId="0000F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0E377144">
            <w:pPr>
              <w:jc w:val="center"/>
              <w:rPr>
                <w:rStyle w:val="17"/>
                <w:b/>
                <w:sz w:val="20"/>
                <w:szCs w:val="20"/>
              </w:rPr>
            </w:pPr>
            <w:r>
              <w:drawing>
                <wp:inline distT="0" distB="0" distL="0" distR="0">
                  <wp:extent cx="3656965" cy="2743200"/>
                  <wp:effectExtent l="0" t="0" r="635" b="0"/>
                  <wp:docPr id="66496314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963147" name="Picture 37"/>
                          <pic:cNvPicPr>
                            <a:picLocks noChangeAspect="1" noChangeArrowheads="1"/>
                          </pic:cNvPicPr>
                        </pic:nvPicPr>
                        <pic:blipFill>
                          <a:blip r:embed="rId21" cstate="print"/>
                          <a:srcRect/>
                          <a:stretch>
                            <a:fillRect/>
                          </a:stretch>
                        </pic:blipFill>
                        <pic:spPr>
                          <a:xfrm>
                            <a:off x="0" y="0"/>
                            <a:ext cx="3657197" cy="2743200"/>
                          </a:xfrm>
                          <a:prstGeom prst="rect">
                            <a:avLst/>
                          </a:prstGeom>
                          <a:noFill/>
                          <a:ln>
                            <a:noFill/>
                          </a:ln>
                        </pic:spPr>
                      </pic:pic>
                    </a:graphicData>
                  </a:graphic>
                </wp:inline>
              </w:drawing>
            </w:r>
          </w:p>
        </w:tc>
      </w:tr>
      <w:tr w14:paraId="12DB6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40F1AF35">
            <w:pPr>
              <w:jc w:val="center"/>
              <w:rPr>
                <w:rStyle w:val="17"/>
                <w:b/>
                <w:sz w:val="20"/>
                <w:szCs w:val="20"/>
              </w:rPr>
            </w:pPr>
            <w:r>
              <w:rPr>
                <w:rStyle w:val="17"/>
                <w:b/>
                <w:sz w:val="20"/>
                <w:szCs w:val="20"/>
              </w:rPr>
              <w:t>13.att.:</w:t>
            </w:r>
            <w:r>
              <w:rPr>
                <w:rStyle w:val="17"/>
                <w:i/>
                <w:sz w:val="20"/>
                <w:szCs w:val="20"/>
              </w:rPr>
              <w:t xml:space="preserve"> Sētas iela 1, Rīga (jumta konstrukcija)</w:t>
            </w:r>
          </w:p>
        </w:tc>
      </w:tr>
      <w:tr w14:paraId="1AF9B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0608CEFF">
            <w:pPr>
              <w:jc w:val="center"/>
              <w:rPr>
                <w:rStyle w:val="17"/>
                <w:b/>
                <w:sz w:val="20"/>
                <w:szCs w:val="20"/>
              </w:rPr>
            </w:pPr>
            <w:r>
              <w:drawing>
                <wp:inline distT="0" distB="0" distL="0" distR="0">
                  <wp:extent cx="4876800" cy="2743200"/>
                  <wp:effectExtent l="0" t="0" r="0" b="0"/>
                  <wp:docPr id="45438090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380902" name="Picture 34"/>
                          <pic:cNvPicPr>
                            <a:picLocks noChangeAspect="1" noChangeArrowheads="1"/>
                          </pic:cNvPicPr>
                        </pic:nvPicPr>
                        <pic:blipFill>
                          <a:blip r:embed="rId22" cstate="print"/>
                          <a:srcRect/>
                          <a:stretch>
                            <a:fillRect/>
                          </a:stretch>
                        </pic:blipFill>
                        <pic:spPr>
                          <a:xfrm rot="5400000">
                            <a:off x="0" y="0"/>
                            <a:ext cx="4877218" cy="2743200"/>
                          </a:xfrm>
                          <a:prstGeom prst="rect">
                            <a:avLst/>
                          </a:prstGeom>
                          <a:noFill/>
                          <a:ln>
                            <a:noFill/>
                          </a:ln>
                        </pic:spPr>
                      </pic:pic>
                    </a:graphicData>
                  </a:graphic>
                </wp:inline>
              </w:drawing>
            </w:r>
          </w:p>
        </w:tc>
      </w:tr>
      <w:tr w14:paraId="47910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79D04FC4">
            <w:pPr>
              <w:jc w:val="center"/>
              <w:rPr>
                <w:rStyle w:val="17"/>
                <w:b/>
                <w:sz w:val="20"/>
                <w:szCs w:val="20"/>
              </w:rPr>
            </w:pPr>
            <w:r>
              <w:rPr>
                <w:rStyle w:val="17"/>
                <w:b/>
                <w:sz w:val="20"/>
                <w:szCs w:val="20"/>
              </w:rPr>
              <w:t>14.att.:</w:t>
            </w:r>
            <w:r>
              <w:rPr>
                <w:rStyle w:val="17"/>
                <w:i/>
                <w:sz w:val="20"/>
                <w:szCs w:val="20"/>
              </w:rPr>
              <w:t xml:space="preserve"> Sētas iela 1, Rīga (iekšējā apdare)</w:t>
            </w:r>
          </w:p>
        </w:tc>
      </w:tr>
      <w:tr w14:paraId="4FA76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213A2B9A">
            <w:pPr>
              <w:jc w:val="center"/>
              <w:rPr>
                <w:rStyle w:val="17"/>
                <w:b/>
                <w:sz w:val="20"/>
                <w:szCs w:val="20"/>
              </w:rPr>
            </w:pPr>
            <w:r>
              <w:drawing>
                <wp:inline distT="0" distB="0" distL="0" distR="0">
                  <wp:extent cx="3656965" cy="2743200"/>
                  <wp:effectExtent l="0" t="0" r="635" b="0"/>
                  <wp:docPr id="119280260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802609" name="Picture 35"/>
                          <pic:cNvPicPr>
                            <a:picLocks noChangeAspect="1" noChangeArrowheads="1"/>
                          </pic:cNvPicPr>
                        </pic:nvPicPr>
                        <pic:blipFill>
                          <a:blip r:embed="rId23" cstate="print"/>
                          <a:srcRect/>
                          <a:stretch>
                            <a:fillRect/>
                          </a:stretch>
                        </pic:blipFill>
                        <pic:spPr>
                          <a:xfrm>
                            <a:off x="0" y="0"/>
                            <a:ext cx="3657197" cy="2743200"/>
                          </a:xfrm>
                          <a:prstGeom prst="rect">
                            <a:avLst/>
                          </a:prstGeom>
                          <a:noFill/>
                          <a:ln>
                            <a:noFill/>
                          </a:ln>
                        </pic:spPr>
                      </pic:pic>
                    </a:graphicData>
                  </a:graphic>
                </wp:inline>
              </w:drawing>
            </w:r>
          </w:p>
        </w:tc>
      </w:tr>
      <w:tr w14:paraId="7F7BB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63BDB2A8">
            <w:pPr>
              <w:jc w:val="center"/>
              <w:rPr>
                <w:rStyle w:val="17"/>
                <w:b/>
                <w:sz w:val="20"/>
                <w:szCs w:val="20"/>
              </w:rPr>
            </w:pPr>
            <w:r>
              <w:rPr>
                <w:rStyle w:val="17"/>
                <w:b/>
                <w:sz w:val="20"/>
                <w:szCs w:val="20"/>
              </w:rPr>
              <w:t>15.att.:</w:t>
            </w:r>
            <w:r>
              <w:rPr>
                <w:rStyle w:val="17"/>
                <w:i/>
                <w:sz w:val="20"/>
                <w:szCs w:val="20"/>
              </w:rPr>
              <w:t xml:space="preserve"> Sētas iela 1, Rīga (jumta margas)</w:t>
            </w:r>
          </w:p>
        </w:tc>
      </w:tr>
      <w:tr w14:paraId="04C2A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265E251D">
            <w:pPr>
              <w:jc w:val="center"/>
              <w:rPr>
                <w:rStyle w:val="17"/>
                <w:b/>
                <w:sz w:val="20"/>
                <w:szCs w:val="20"/>
              </w:rPr>
            </w:pPr>
            <w:r>
              <w:drawing>
                <wp:inline distT="0" distB="0" distL="0" distR="0">
                  <wp:extent cx="3656965" cy="2743200"/>
                  <wp:effectExtent l="0" t="0" r="635" b="0"/>
                  <wp:docPr id="178821849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218494" name="Picture 43"/>
                          <pic:cNvPicPr>
                            <a:picLocks noChangeAspect="1" noChangeArrowheads="1"/>
                          </pic:cNvPicPr>
                        </pic:nvPicPr>
                        <pic:blipFill>
                          <a:blip r:embed="rId24" cstate="print"/>
                          <a:srcRect/>
                          <a:stretch>
                            <a:fillRect/>
                          </a:stretch>
                        </pic:blipFill>
                        <pic:spPr>
                          <a:xfrm>
                            <a:off x="0" y="0"/>
                            <a:ext cx="3657197" cy="2743200"/>
                          </a:xfrm>
                          <a:prstGeom prst="rect">
                            <a:avLst/>
                          </a:prstGeom>
                          <a:noFill/>
                          <a:ln>
                            <a:noFill/>
                          </a:ln>
                        </pic:spPr>
                      </pic:pic>
                    </a:graphicData>
                  </a:graphic>
                </wp:inline>
              </w:drawing>
            </w:r>
          </w:p>
        </w:tc>
      </w:tr>
      <w:tr w14:paraId="296AF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39E88CB6">
            <w:pPr>
              <w:jc w:val="center"/>
              <w:rPr>
                <w:rStyle w:val="17"/>
                <w:b/>
                <w:sz w:val="20"/>
                <w:szCs w:val="20"/>
              </w:rPr>
            </w:pPr>
            <w:r>
              <w:rPr>
                <w:rStyle w:val="17"/>
                <w:b/>
                <w:sz w:val="20"/>
                <w:szCs w:val="20"/>
              </w:rPr>
              <w:t>16.att.:</w:t>
            </w:r>
            <w:r>
              <w:rPr>
                <w:rStyle w:val="17"/>
                <w:i/>
                <w:sz w:val="20"/>
                <w:szCs w:val="20"/>
              </w:rPr>
              <w:t xml:space="preserve"> Sētas iela 1, Rīga (autouzlāde)</w:t>
            </w:r>
          </w:p>
        </w:tc>
      </w:tr>
      <w:tr w14:paraId="334FB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080E9AA7">
            <w:pPr>
              <w:jc w:val="center"/>
              <w:rPr>
                <w:rStyle w:val="17"/>
                <w:b/>
                <w:sz w:val="20"/>
                <w:szCs w:val="20"/>
              </w:rPr>
            </w:pPr>
            <w:r>
              <w:drawing>
                <wp:inline distT="0" distB="0" distL="0" distR="0">
                  <wp:extent cx="3656965" cy="2743200"/>
                  <wp:effectExtent l="0" t="317" r="317" b="318"/>
                  <wp:docPr id="158867609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676090" name="Picture 44"/>
                          <pic:cNvPicPr>
                            <a:picLocks noChangeAspect="1" noChangeArrowheads="1"/>
                          </pic:cNvPicPr>
                        </pic:nvPicPr>
                        <pic:blipFill>
                          <a:blip r:embed="rId25" cstate="print"/>
                          <a:srcRect/>
                          <a:stretch>
                            <a:fillRect/>
                          </a:stretch>
                        </pic:blipFill>
                        <pic:spPr>
                          <a:xfrm rot="5400000">
                            <a:off x="0" y="0"/>
                            <a:ext cx="3657197" cy="2743200"/>
                          </a:xfrm>
                          <a:prstGeom prst="rect">
                            <a:avLst/>
                          </a:prstGeom>
                          <a:noFill/>
                          <a:ln>
                            <a:noFill/>
                          </a:ln>
                        </pic:spPr>
                      </pic:pic>
                    </a:graphicData>
                  </a:graphic>
                </wp:inline>
              </w:drawing>
            </w:r>
          </w:p>
        </w:tc>
      </w:tr>
      <w:tr w14:paraId="54B83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152F5AB9">
            <w:pPr>
              <w:jc w:val="center"/>
              <w:rPr>
                <w:rStyle w:val="17"/>
                <w:b/>
                <w:sz w:val="20"/>
                <w:szCs w:val="20"/>
              </w:rPr>
            </w:pPr>
            <w:r>
              <w:rPr>
                <w:rStyle w:val="17"/>
                <w:b/>
                <w:sz w:val="20"/>
                <w:szCs w:val="20"/>
              </w:rPr>
              <w:t>17.att.:</w:t>
            </w:r>
            <w:r>
              <w:rPr>
                <w:rStyle w:val="17"/>
                <w:i/>
                <w:sz w:val="20"/>
                <w:szCs w:val="20"/>
              </w:rPr>
              <w:t xml:space="preserve"> Sētas iela 1, Rīga (ārējās kāpnes)</w:t>
            </w:r>
          </w:p>
        </w:tc>
      </w:tr>
      <w:tr w14:paraId="37686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3AC51FF9">
            <w:pPr>
              <w:jc w:val="center"/>
              <w:rPr>
                <w:rStyle w:val="17"/>
                <w:b/>
                <w:sz w:val="20"/>
                <w:szCs w:val="20"/>
              </w:rPr>
            </w:pPr>
            <w:r>
              <w:drawing>
                <wp:inline distT="0" distB="0" distL="0" distR="0">
                  <wp:extent cx="4876800" cy="2743200"/>
                  <wp:effectExtent l="0" t="0" r="0" b="0"/>
                  <wp:docPr id="214418946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189466" name="Picture 45"/>
                          <pic:cNvPicPr>
                            <a:picLocks noChangeAspect="1" noChangeArrowheads="1"/>
                          </pic:cNvPicPr>
                        </pic:nvPicPr>
                        <pic:blipFill>
                          <a:blip r:embed="rId26" cstate="print"/>
                          <a:srcRect/>
                          <a:stretch>
                            <a:fillRect/>
                          </a:stretch>
                        </pic:blipFill>
                        <pic:spPr>
                          <a:xfrm rot="5400000">
                            <a:off x="0" y="0"/>
                            <a:ext cx="4877218" cy="2743200"/>
                          </a:xfrm>
                          <a:prstGeom prst="rect">
                            <a:avLst/>
                          </a:prstGeom>
                          <a:noFill/>
                          <a:ln>
                            <a:noFill/>
                          </a:ln>
                        </pic:spPr>
                      </pic:pic>
                    </a:graphicData>
                  </a:graphic>
                </wp:inline>
              </w:drawing>
            </w:r>
          </w:p>
        </w:tc>
      </w:tr>
      <w:tr w14:paraId="51BE4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3C8EEA46">
            <w:pPr>
              <w:jc w:val="center"/>
              <w:rPr>
                <w:rStyle w:val="17"/>
                <w:b/>
                <w:sz w:val="20"/>
                <w:szCs w:val="20"/>
              </w:rPr>
            </w:pPr>
            <w:r>
              <w:rPr>
                <w:rStyle w:val="17"/>
                <w:b/>
                <w:sz w:val="20"/>
                <w:szCs w:val="20"/>
              </w:rPr>
              <w:t>18.att.:</w:t>
            </w:r>
            <w:r>
              <w:rPr>
                <w:rStyle w:val="17"/>
                <w:i/>
                <w:sz w:val="20"/>
                <w:szCs w:val="20"/>
              </w:rPr>
              <w:t xml:space="preserve"> Sētas iela 1, Rīga (virsgaismas)</w:t>
            </w:r>
          </w:p>
        </w:tc>
      </w:tr>
      <w:tr w14:paraId="1D893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0C7C7460">
            <w:pPr>
              <w:jc w:val="center"/>
              <w:rPr>
                <w:rStyle w:val="17"/>
                <w:b/>
                <w:sz w:val="20"/>
                <w:szCs w:val="20"/>
              </w:rPr>
            </w:pPr>
            <w:r>
              <w:drawing>
                <wp:inline distT="0" distB="0" distL="0" distR="0">
                  <wp:extent cx="4876800" cy="2743200"/>
                  <wp:effectExtent l="0" t="0" r="0" b="0"/>
                  <wp:docPr id="90515077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150778" name="Picture 30"/>
                          <pic:cNvPicPr>
                            <a:picLocks noChangeAspect="1" noChangeArrowheads="1"/>
                          </pic:cNvPicPr>
                        </pic:nvPicPr>
                        <pic:blipFill>
                          <a:blip r:embed="rId27" cstate="print"/>
                          <a:srcRect/>
                          <a:stretch>
                            <a:fillRect/>
                          </a:stretch>
                        </pic:blipFill>
                        <pic:spPr>
                          <a:xfrm rot="5400000">
                            <a:off x="0" y="0"/>
                            <a:ext cx="4877218" cy="2743200"/>
                          </a:xfrm>
                          <a:prstGeom prst="rect">
                            <a:avLst/>
                          </a:prstGeom>
                          <a:noFill/>
                          <a:ln>
                            <a:noFill/>
                          </a:ln>
                        </pic:spPr>
                      </pic:pic>
                    </a:graphicData>
                  </a:graphic>
                </wp:inline>
              </w:drawing>
            </w:r>
          </w:p>
        </w:tc>
      </w:tr>
      <w:tr w14:paraId="2DD2B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33570E77">
            <w:pPr>
              <w:jc w:val="center"/>
              <w:rPr>
                <w:rStyle w:val="17"/>
                <w:b/>
                <w:sz w:val="20"/>
                <w:szCs w:val="20"/>
              </w:rPr>
            </w:pPr>
            <w:r>
              <w:rPr>
                <w:rStyle w:val="17"/>
                <w:b/>
                <w:sz w:val="20"/>
                <w:szCs w:val="20"/>
              </w:rPr>
              <w:t>19.att.:</w:t>
            </w:r>
            <w:r>
              <w:rPr>
                <w:rStyle w:val="17"/>
                <w:i/>
                <w:sz w:val="20"/>
                <w:szCs w:val="20"/>
              </w:rPr>
              <w:t xml:space="preserve"> Sētas iela 1, Rīga (kāpnes)</w:t>
            </w:r>
          </w:p>
        </w:tc>
      </w:tr>
      <w:tr w14:paraId="099B7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08218943">
            <w:pPr>
              <w:jc w:val="center"/>
              <w:rPr>
                <w:rStyle w:val="17"/>
                <w:b/>
                <w:sz w:val="20"/>
                <w:szCs w:val="20"/>
              </w:rPr>
            </w:pPr>
            <w:r>
              <w:drawing>
                <wp:inline distT="0" distB="0" distL="0" distR="0">
                  <wp:extent cx="4876800" cy="2743200"/>
                  <wp:effectExtent l="0" t="0" r="0" b="0"/>
                  <wp:docPr id="190494692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46928" name="Picture 47"/>
                          <pic:cNvPicPr>
                            <a:picLocks noChangeAspect="1" noChangeArrowheads="1"/>
                          </pic:cNvPicPr>
                        </pic:nvPicPr>
                        <pic:blipFill>
                          <a:blip r:embed="rId28" cstate="print"/>
                          <a:srcRect/>
                          <a:stretch>
                            <a:fillRect/>
                          </a:stretch>
                        </pic:blipFill>
                        <pic:spPr>
                          <a:xfrm rot="5400000">
                            <a:off x="0" y="0"/>
                            <a:ext cx="4877218" cy="2743200"/>
                          </a:xfrm>
                          <a:prstGeom prst="rect">
                            <a:avLst/>
                          </a:prstGeom>
                          <a:noFill/>
                          <a:ln>
                            <a:noFill/>
                          </a:ln>
                        </pic:spPr>
                      </pic:pic>
                    </a:graphicData>
                  </a:graphic>
                </wp:inline>
              </w:drawing>
            </w:r>
          </w:p>
        </w:tc>
      </w:tr>
      <w:tr w14:paraId="2E8F0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2BE29586">
            <w:pPr>
              <w:jc w:val="center"/>
              <w:rPr>
                <w:rStyle w:val="17"/>
                <w:b/>
                <w:sz w:val="20"/>
                <w:szCs w:val="20"/>
              </w:rPr>
            </w:pPr>
            <w:r>
              <w:rPr>
                <w:rStyle w:val="17"/>
                <w:b/>
                <w:sz w:val="20"/>
                <w:szCs w:val="20"/>
              </w:rPr>
              <w:t>20.att.:</w:t>
            </w:r>
            <w:r>
              <w:rPr>
                <w:rStyle w:val="17"/>
                <w:i/>
                <w:sz w:val="20"/>
                <w:szCs w:val="20"/>
              </w:rPr>
              <w:t xml:space="preserve"> Sētas iela 1, Rīga (iekšējā apdare)</w:t>
            </w:r>
          </w:p>
        </w:tc>
      </w:tr>
      <w:tr w14:paraId="1A508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40871C2C">
            <w:pPr>
              <w:jc w:val="center"/>
              <w:rPr>
                <w:rStyle w:val="17"/>
                <w:b/>
                <w:sz w:val="20"/>
                <w:szCs w:val="20"/>
              </w:rPr>
            </w:pPr>
            <w:r>
              <w:drawing>
                <wp:inline distT="0" distB="0" distL="0" distR="0">
                  <wp:extent cx="4876800" cy="2743200"/>
                  <wp:effectExtent l="0" t="0" r="0" b="0"/>
                  <wp:docPr id="46770221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702212" name="Picture 32"/>
                          <pic:cNvPicPr>
                            <a:picLocks noChangeAspect="1" noChangeArrowheads="1"/>
                          </pic:cNvPicPr>
                        </pic:nvPicPr>
                        <pic:blipFill>
                          <a:blip r:embed="rId29" cstate="print"/>
                          <a:srcRect/>
                          <a:stretch>
                            <a:fillRect/>
                          </a:stretch>
                        </pic:blipFill>
                        <pic:spPr>
                          <a:xfrm rot="5400000">
                            <a:off x="0" y="0"/>
                            <a:ext cx="4877218" cy="2743200"/>
                          </a:xfrm>
                          <a:prstGeom prst="rect">
                            <a:avLst/>
                          </a:prstGeom>
                          <a:noFill/>
                          <a:ln>
                            <a:noFill/>
                          </a:ln>
                        </pic:spPr>
                      </pic:pic>
                    </a:graphicData>
                  </a:graphic>
                </wp:inline>
              </w:drawing>
            </w:r>
          </w:p>
        </w:tc>
      </w:tr>
      <w:tr w14:paraId="06E2C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1F8D32CE">
            <w:pPr>
              <w:jc w:val="center"/>
              <w:rPr>
                <w:rStyle w:val="17"/>
                <w:b/>
                <w:sz w:val="20"/>
                <w:szCs w:val="20"/>
              </w:rPr>
            </w:pPr>
            <w:r>
              <w:rPr>
                <w:rStyle w:val="17"/>
                <w:b/>
                <w:sz w:val="20"/>
                <w:szCs w:val="20"/>
              </w:rPr>
              <w:t>21.att.:</w:t>
            </w:r>
            <w:r>
              <w:rPr>
                <w:rStyle w:val="17"/>
                <w:i/>
                <w:sz w:val="20"/>
                <w:szCs w:val="20"/>
              </w:rPr>
              <w:t xml:space="preserve"> Sētas iela 1, Rīga (iekšējā apdare)</w:t>
            </w:r>
          </w:p>
        </w:tc>
      </w:tr>
      <w:tr w14:paraId="5DBF5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443C70C7">
            <w:pPr>
              <w:jc w:val="center"/>
              <w:rPr>
                <w:rStyle w:val="17"/>
                <w:b/>
                <w:sz w:val="20"/>
                <w:szCs w:val="20"/>
              </w:rPr>
            </w:pPr>
            <w:r>
              <w:drawing>
                <wp:inline distT="0" distB="0" distL="0" distR="0">
                  <wp:extent cx="5760085" cy="3239770"/>
                  <wp:effectExtent l="2858" t="0" r="0" b="0"/>
                  <wp:docPr id="190298713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87131" name="Picture 46"/>
                          <pic:cNvPicPr>
                            <a:picLocks noChangeAspect="1" noChangeArrowheads="1"/>
                          </pic:cNvPicPr>
                        </pic:nvPicPr>
                        <pic:blipFill>
                          <a:blip r:embed="rId30" cstate="print"/>
                          <a:srcRect/>
                          <a:stretch>
                            <a:fillRect/>
                          </a:stretch>
                        </pic:blipFill>
                        <pic:spPr>
                          <a:xfrm rot="5400000">
                            <a:off x="0" y="0"/>
                            <a:ext cx="5760085" cy="3239770"/>
                          </a:xfrm>
                          <a:prstGeom prst="rect">
                            <a:avLst/>
                          </a:prstGeom>
                          <a:noFill/>
                          <a:ln>
                            <a:noFill/>
                          </a:ln>
                        </pic:spPr>
                      </pic:pic>
                    </a:graphicData>
                  </a:graphic>
                </wp:inline>
              </w:drawing>
            </w:r>
          </w:p>
        </w:tc>
      </w:tr>
      <w:tr w14:paraId="29950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0F9D88C7">
            <w:pPr>
              <w:jc w:val="center"/>
              <w:rPr>
                <w:rStyle w:val="17"/>
                <w:b/>
                <w:sz w:val="20"/>
                <w:szCs w:val="20"/>
              </w:rPr>
            </w:pPr>
            <w:r>
              <w:rPr>
                <w:rStyle w:val="17"/>
                <w:b/>
                <w:sz w:val="20"/>
                <w:szCs w:val="20"/>
              </w:rPr>
              <w:t>22.att.:</w:t>
            </w:r>
            <w:r>
              <w:rPr>
                <w:rStyle w:val="17"/>
                <w:i/>
                <w:sz w:val="20"/>
                <w:szCs w:val="20"/>
              </w:rPr>
              <w:t xml:space="preserve"> Sētas iela 1, Rīga (sadalne)</w:t>
            </w:r>
          </w:p>
        </w:tc>
      </w:tr>
      <w:tr w14:paraId="2BC63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54B12ADD">
            <w:pPr>
              <w:jc w:val="center"/>
              <w:rPr>
                <w:rStyle w:val="17"/>
                <w:b/>
                <w:sz w:val="20"/>
                <w:szCs w:val="20"/>
              </w:rPr>
            </w:pPr>
            <w:r>
              <w:drawing>
                <wp:inline distT="0" distB="0" distL="0" distR="0">
                  <wp:extent cx="3656965" cy="2743200"/>
                  <wp:effectExtent l="0" t="0" r="635" b="0"/>
                  <wp:docPr id="129255869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558691" name="Picture 48"/>
                          <pic:cNvPicPr>
                            <a:picLocks noChangeAspect="1" noChangeArrowheads="1"/>
                          </pic:cNvPicPr>
                        </pic:nvPicPr>
                        <pic:blipFill>
                          <a:blip r:embed="rId31" cstate="print"/>
                          <a:srcRect/>
                          <a:stretch>
                            <a:fillRect/>
                          </a:stretch>
                        </pic:blipFill>
                        <pic:spPr>
                          <a:xfrm>
                            <a:off x="0" y="0"/>
                            <a:ext cx="3657197" cy="2743200"/>
                          </a:xfrm>
                          <a:prstGeom prst="rect">
                            <a:avLst/>
                          </a:prstGeom>
                          <a:noFill/>
                          <a:ln>
                            <a:noFill/>
                          </a:ln>
                        </pic:spPr>
                      </pic:pic>
                    </a:graphicData>
                  </a:graphic>
                </wp:inline>
              </w:drawing>
            </w:r>
          </w:p>
        </w:tc>
      </w:tr>
      <w:tr w14:paraId="0D47D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6E5D530B">
            <w:pPr>
              <w:jc w:val="center"/>
              <w:rPr>
                <w:rStyle w:val="17"/>
                <w:b/>
                <w:sz w:val="20"/>
                <w:szCs w:val="20"/>
              </w:rPr>
            </w:pPr>
            <w:r>
              <w:rPr>
                <w:rStyle w:val="17"/>
                <w:b/>
                <w:sz w:val="20"/>
                <w:szCs w:val="20"/>
              </w:rPr>
              <w:t>23.att.:</w:t>
            </w:r>
            <w:r>
              <w:rPr>
                <w:rStyle w:val="17"/>
                <w:i/>
                <w:sz w:val="20"/>
                <w:szCs w:val="20"/>
              </w:rPr>
              <w:t xml:space="preserve"> Sētas iela 1, Rīga (drenāžas aka)</w:t>
            </w:r>
            <w:r>
              <w:t xml:space="preserve"> </w:t>
            </w:r>
          </w:p>
        </w:tc>
      </w:tr>
      <w:tr w14:paraId="32543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17304859">
            <w:pPr>
              <w:jc w:val="center"/>
              <w:rPr>
                <w:rStyle w:val="17"/>
                <w:b/>
                <w:sz w:val="20"/>
                <w:szCs w:val="20"/>
              </w:rPr>
            </w:pPr>
            <w:r>
              <w:drawing>
                <wp:inline distT="0" distB="0" distL="0" distR="0">
                  <wp:extent cx="4876800" cy="2743200"/>
                  <wp:effectExtent l="0" t="0" r="0" b="0"/>
                  <wp:docPr id="26731570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315703" name="Picture 31"/>
                          <pic:cNvPicPr>
                            <a:picLocks noChangeAspect="1" noChangeArrowheads="1"/>
                          </pic:cNvPicPr>
                        </pic:nvPicPr>
                        <pic:blipFill>
                          <a:blip r:embed="rId32" cstate="print"/>
                          <a:srcRect/>
                          <a:stretch>
                            <a:fillRect/>
                          </a:stretch>
                        </pic:blipFill>
                        <pic:spPr>
                          <a:xfrm rot="5400000">
                            <a:off x="0" y="0"/>
                            <a:ext cx="4877218" cy="2743200"/>
                          </a:xfrm>
                          <a:prstGeom prst="rect">
                            <a:avLst/>
                          </a:prstGeom>
                          <a:noFill/>
                          <a:ln>
                            <a:noFill/>
                          </a:ln>
                        </pic:spPr>
                      </pic:pic>
                    </a:graphicData>
                  </a:graphic>
                </wp:inline>
              </w:drawing>
            </w:r>
          </w:p>
        </w:tc>
      </w:tr>
      <w:tr w14:paraId="42AEF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64B9B057">
            <w:pPr>
              <w:jc w:val="center"/>
              <w:rPr>
                <w:rStyle w:val="17"/>
                <w:b/>
                <w:sz w:val="20"/>
                <w:szCs w:val="20"/>
              </w:rPr>
            </w:pPr>
            <w:r>
              <w:rPr>
                <w:rStyle w:val="17"/>
                <w:b/>
                <w:sz w:val="20"/>
                <w:szCs w:val="20"/>
              </w:rPr>
              <w:t>24.att.:</w:t>
            </w:r>
            <w:r>
              <w:rPr>
                <w:rStyle w:val="17"/>
                <w:i/>
                <w:sz w:val="20"/>
                <w:szCs w:val="20"/>
              </w:rPr>
              <w:t xml:space="preserve"> Sētas iela 1, Rīga (ugunsdzēsības krāns)</w:t>
            </w:r>
          </w:p>
        </w:tc>
      </w:tr>
      <w:tr w14:paraId="095A4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4C5C3B43">
            <w:pPr>
              <w:jc w:val="center"/>
              <w:rPr>
                <w:rStyle w:val="17"/>
                <w:b/>
                <w:sz w:val="20"/>
                <w:szCs w:val="20"/>
              </w:rPr>
            </w:pPr>
            <w:r>
              <w:drawing>
                <wp:inline distT="0" distB="0" distL="0" distR="0">
                  <wp:extent cx="4876800" cy="2743200"/>
                  <wp:effectExtent l="0" t="0" r="0" b="0"/>
                  <wp:docPr id="130778390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783906" name="Picture 49"/>
                          <pic:cNvPicPr>
                            <a:picLocks noChangeAspect="1" noChangeArrowheads="1"/>
                          </pic:cNvPicPr>
                        </pic:nvPicPr>
                        <pic:blipFill>
                          <a:blip r:embed="rId33" cstate="print"/>
                          <a:srcRect/>
                          <a:stretch>
                            <a:fillRect/>
                          </a:stretch>
                        </pic:blipFill>
                        <pic:spPr>
                          <a:xfrm rot="5400000">
                            <a:off x="0" y="0"/>
                            <a:ext cx="4877218" cy="2743200"/>
                          </a:xfrm>
                          <a:prstGeom prst="rect">
                            <a:avLst/>
                          </a:prstGeom>
                          <a:noFill/>
                          <a:ln>
                            <a:noFill/>
                          </a:ln>
                        </pic:spPr>
                      </pic:pic>
                    </a:graphicData>
                  </a:graphic>
                </wp:inline>
              </w:drawing>
            </w:r>
          </w:p>
        </w:tc>
      </w:tr>
      <w:tr w14:paraId="6C4C6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67E58C83">
            <w:pPr>
              <w:jc w:val="center"/>
              <w:rPr>
                <w:rStyle w:val="17"/>
                <w:b/>
                <w:sz w:val="20"/>
                <w:szCs w:val="20"/>
              </w:rPr>
            </w:pPr>
            <w:r>
              <w:rPr>
                <w:rStyle w:val="17"/>
                <w:b/>
                <w:sz w:val="20"/>
                <w:szCs w:val="20"/>
              </w:rPr>
              <w:t>25.att.:</w:t>
            </w:r>
            <w:r>
              <w:rPr>
                <w:rStyle w:val="17"/>
                <w:i/>
                <w:sz w:val="20"/>
                <w:szCs w:val="20"/>
              </w:rPr>
              <w:t xml:space="preserve"> Sētas iela 1, Rīga (durvis)</w:t>
            </w:r>
          </w:p>
        </w:tc>
      </w:tr>
      <w:tr w14:paraId="5FC74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4AF623C6">
            <w:pPr>
              <w:jc w:val="center"/>
              <w:rPr>
                <w:rStyle w:val="17"/>
                <w:b/>
                <w:sz w:val="20"/>
                <w:szCs w:val="20"/>
              </w:rPr>
            </w:pPr>
            <w:r>
              <w:drawing>
                <wp:inline distT="0" distB="0" distL="0" distR="0">
                  <wp:extent cx="3656965" cy="2743200"/>
                  <wp:effectExtent l="0" t="0" r="635" b="0"/>
                  <wp:docPr id="181687954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79544" name="Picture 50"/>
                          <pic:cNvPicPr>
                            <a:picLocks noChangeAspect="1" noChangeArrowheads="1"/>
                          </pic:cNvPicPr>
                        </pic:nvPicPr>
                        <pic:blipFill>
                          <a:blip r:embed="rId34" cstate="print"/>
                          <a:srcRect/>
                          <a:stretch>
                            <a:fillRect/>
                          </a:stretch>
                        </pic:blipFill>
                        <pic:spPr>
                          <a:xfrm>
                            <a:off x="0" y="0"/>
                            <a:ext cx="3657197" cy="2743200"/>
                          </a:xfrm>
                          <a:prstGeom prst="rect">
                            <a:avLst/>
                          </a:prstGeom>
                          <a:noFill/>
                          <a:ln>
                            <a:noFill/>
                          </a:ln>
                        </pic:spPr>
                      </pic:pic>
                    </a:graphicData>
                  </a:graphic>
                </wp:inline>
              </w:drawing>
            </w:r>
          </w:p>
        </w:tc>
      </w:tr>
      <w:tr w14:paraId="05EB1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7B9B0A68">
            <w:pPr>
              <w:jc w:val="center"/>
              <w:rPr>
                <w:rStyle w:val="17"/>
                <w:b/>
                <w:sz w:val="20"/>
                <w:szCs w:val="20"/>
              </w:rPr>
            </w:pPr>
            <w:r>
              <w:rPr>
                <w:rStyle w:val="17"/>
                <w:b/>
                <w:sz w:val="20"/>
                <w:szCs w:val="20"/>
              </w:rPr>
              <w:t>26.att.:</w:t>
            </w:r>
            <w:r>
              <w:rPr>
                <w:rStyle w:val="17"/>
                <w:i/>
                <w:sz w:val="20"/>
                <w:szCs w:val="20"/>
              </w:rPr>
              <w:t xml:space="preserve"> Sētas iela 1, Rīga (kāpnes)</w:t>
            </w:r>
          </w:p>
        </w:tc>
      </w:tr>
      <w:tr w14:paraId="657BF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47D585D4">
            <w:pPr>
              <w:jc w:val="center"/>
              <w:rPr>
                <w:rStyle w:val="17"/>
                <w:b/>
                <w:sz w:val="20"/>
                <w:szCs w:val="20"/>
              </w:rPr>
            </w:pPr>
            <w:r>
              <w:drawing>
                <wp:inline distT="0" distB="0" distL="0" distR="0">
                  <wp:extent cx="4876800" cy="2743200"/>
                  <wp:effectExtent l="0" t="0" r="0" b="0"/>
                  <wp:docPr id="95011510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115109" name="Picture 29"/>
                          <pic:cNvPicPr>
                            <a:picLocks noChangeAspect="1" noChangeArrowheads="1"/>
                          </pic:cNvPicPr>
                        </pic:nvPicPr>
                        <pic:blipFill>
                          <a:blip r:embed="rId35" cstate="print"/>
                          <a:srcRect/>
                          <a:stretch>
                            <a:fillRect/>
                          </a:stretch>
                        </pic:blipFill>
                        <pic:spPr>
                          <a:xfrm>
                            <a:off x="0" y="0"/>
                            <a:ext cx="4877218" cy="2743200"/>
                          </a:xfrm>
                          <a:prstGeom prst="rect">
                            <a:avLst/>
                          </a:prstGeom>
                          <a:noFill/>
                          <a:ln>
                            <a:noFill/>
                          </a:ln>
                        </pic:spPr>
                      </pic:pic>
                    </a:graphicData>
                  </a:graphic>
                </wp:inline>
              </w:drawing>
            </w:r>
          </w:p>
        </w:tc>
      </w:tr>
      <w:tr w14:paraId="396C6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60626292">
            <w:pPr>
              <w:jc w:val="center"/>
              <w:rPr>
                <w:rStyle w:val="17"/>
                <w:b/>
                <w:sz w:val="20"/>
                <w:szCs w:val="20"/>
              </w:rPr>
            </w:pPr>
            <w:r>
              <w:rPr>
                <w:rStyle w:val="17"/>
                <w:b/>
                <w:sz w:val="20"/>
                <w:szCs w:val="20"/>
              </w:rPr>
              <w:t>27.att.:</w:t>
            </w:r>
            <w:r>
              <w:rPr>
                <w:rStyle w:val="17"/>
                <w:i/>
                <w:sz w:val="20"/>
                <w:szCs w:val="20"/>
              </w:rPr>
              <w:t xml:space="preserve"> Sētas iela 1, Rīga (siltummezgls)</w:t>
            </w:r>
          </w:p>
        </w:tc>
      </w:tr>
    </w:tbl>
    <w:p w14:paraId="4B14B16A">
      <w:pPr>
        <w:jc w:val="center"/>
        <w:rPr>
          <w:rFonts w:eastAsia="Times New Roman" w:cs="Times New Roman"/>
          <w:b/>
          <w:bCs/>
          <w:szCs w:val="28"/>
          <w:lang w:eastAsia="lv-LV"/>
        </w:rPr>
      </w:pPr>
    </w:p>
    <w:p w14:paraId="7C62512D"/>
    <w:p w14:paraId="62D13836"/>
    <w:sectPr>
      <w:footerReference r:id="rId7" w:type="first"/>
      <w:headerReference r:id="rId5" w:type="default"/>
      <w:footerReference r:id="rId6" w:type="default"/>
      <w:pgSz w:w="11906" w:h="16838"/>
      <w:pgMar w:top="1418" w:right="1134" w:bottom="1134" w:left="1701" w:header="709" w:footer="709" w:gutter="0"/>
      <w:cols w:space="708" w:num="1"/>
      <w:titlePg/>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CC"/>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717DA">
    <w:pPr>
      <w:pStyle w:val="6"/>
      <w:tabs>
        <w:tab w:val="right" w:pos="9072"/>
        <w:tab w:val="clear" w:pos="8306"/>
      </w:tabs>
      <w:jc w:val="both"/>
      <w:rPr>
        <w:sz w:val="16"/>
        <w:szCs w:val="16"/>
      </w:rPr>
    </w:pPr>
    <w:r>
      <w:rPr>
        <w:sz w:val="16"/>
        <w:szCs w:val="16"/>
      </w:rPr>
      <w:t>N1322_5p1_EM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FF94B">
    <w:pPr>
      <w:pStyle w:val="6"/>
      <w:tabs>
        <w:tab w:val="right" w:pos="9072"/>
        <w:tab w:val="clear" w:pos="8306"/>
      </w:tabs>
      <w:jc w:val="both"/>
      <w:rPr>
        <w:sz w:val="16"/>
        <w:szCs w:val="16"/>
      </w:rPr>
    </w:pPr>
    <w:r>
      <w:rPr>
        <w:sz w:val="16"/>
        <w:szCs w:val="16"/>
      </w:rPr>
      <w:t>N1322_5p1_EM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9029953"/>
      <w:docPartObj>
        <w:docPartGallery w:val="AutoText"/>
      </w:docPartObj>
    </w:sdtPr>
    <w:sdtEndPr>
      <w:rPr>
        <w:sz w:val="22"/>
      </w:rPr>
    </w:sdtEndPr>
    <w:sdtContent>
      <w:p w14:paraId="601B1E39">
        <w:pPr>
          <w:pStyle w:val="7"/>
          <w:jc w:val="center"/>
          <w:rPr>
            <w:sz w:val="22"/>
          </w:rPr>
        </w:pPr>
        <w:r>
          <w:rPr>
            <w:sz w:val="22"/>
          </w:rPr>
          <w:fldChar w:fldCharType="begin"/>
        </w:r>
        <w:r>
          <w:rPr>
            <w:sz w:val="22"/>
          </w:rPr>
          <w:instrText xml:space="preserve"> PAGE   \* MERGEFORMAT </w:instrText>
        </w:r>
        <w:r>
          <w:rPr>
            <w:sz w:val="22"/>
          </w:rPr>
          <w:fldChar w:fldCharType="separate"/>
        </w:r>
        <w:r>
          <w:rPr>
            <w:sz w:val="22"/>
          </w:rPr>
          <w:t>2</w:t>
        </w:r>
        <w:r>
          <w:rPr>
            <w:sz w:val="22"/>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B76"/>
    <w:rsid w:val="00037B5E"/>
    <w:rsid w:val="0004061D"/>
    <w:rsid w:val="00045138"/>
    <w:rsid w:val="00051485"/>
    <w:rsid w:val="00062DEC"/>
    <w:rsid w:val="000746A6"/>
    <w:rsid w:val="000970C5"/>
    <w:rsid w:val="000A2233"/>
    <w:rsid w:val="000A4F5D"/>
    <w:rsid w:val="000A5223"/>
    <w:rsid w:val="000B37A0"/>
    <w:rsid w:val="000B50D4"/>
    <w:rsid w:val="000B6288"/>
    <w:rsid w:val="000B7544"/>
    <w:rsid w:val="000D1886"/>
    <w:rsid w:val="000D687A"/>
    <w:rsid w:val="000E082E"/>
    <w:rsid w:val="000E44F4"/>
    <w:rsid w:val="000E4B0D"/>
    <w:rsid w:val="000F09CA"/>
    <w:rsid w:val="000F38AF"/>
    <w:rsid w:val="00123A9D"/>
    <w:rsid w:val="00127EFC"/>
    <w:rsid w:val="0014018A"/>
    <w:rsid w:val="00146DA3"/>
    <w:rsid w:val="00166762"/>
    <w:rsid w:val="001700B4"/>
    <w:rsid w:val="001745AD"/>
    <w:rsid w:val="00177424"/>
    <w:rsid w:val="00177F3E"/>
    <w:rsid w:val="00184D35"/>
    <w:rsid w:val="001A10A0"/>
    <w:rsid w:val="001A7846"/>
    <w:rsid w:val="001B0D26"/>
    <w:rsid w:val="001D76F0"/>
    <w:rsid w:val="001E4282"/>
    <w:rsid w:val="001F5355"/>
    <w:rsid w:val="00242DA0"/>
    <w:rsid w:val="00261598"/>
    <w:rsid w:val="00261E9C"/>
    <w:rsid w:val="0028064E"/>
    <w:rsid w:val="00283403"/>
    <w:rsid w:val="002A64EC"/>
    <w:rsid w:val="002B38EA"/>
    <w:rsid w:val="002C13FE"/>
    <w:rsid w:val="002C7085"/>
    <w:rsid w:val="002D1C57"/>
    <w:rsid w:val="002D343C"/>
    <w:rsid w:val="002D374F"/>
    <w:rsid w:val="002F5B76"/>
    <w:rsid w:val="0031044B"/>
    <w:rsid w:val="0032316D"/>
    <w:rsid w:val="003328D2"/>
    <w:rsid w:val="003455DD"/>
    <w:rsid w:val="0035598B"/>
    <w:rsid w:val="00356007"/>
    <w:rsid w:val="00362DEE"/>
    <w:rsid w:val="003732DF"/>
    <w:rsid w:val="00393275"/>
    <w:rsid w:val="0039559B"/>
    <w:rsid w:val="003A5502"/>
    <w:rsid w:val="003A58A6"/>
    <w:rsid w:val="003B4A64"/>
    <w:rsid w:val="003D0C15"/>
    <w:rsid w:val="003D2824"/>
    <w:rsid w:val="0040688C"/>
    <w:rsid w:val="00415513"/>
    <w:rsid w:val="00421EC5"/>
    <w:rsid w:val="0043340A"/>
    <w:rsid w:val="00436C57"/>
    <w:rsid w:val="00441468"/>
    <w:rsid w:val="00486827"/>
    <w:rsid w:val="004968A6"/>
    <w:rsid w:val="00496F93"/>
    <w:rsid w:val="004A0890"/>
    <w:rsid w:val="004C48F2"/>
    <w:rsid w:val="004D6C5B"/>
    <w:rsid w:val="004E7C8D"/>
    <w:rsid w:val="004F47F8"/>
    <w:rsid w:val="00521C97"/>
    <w:rsid w:val="005313C2"/>
    <w:rsid w:val="00537BF5"/>
    <w:rsid w:val="005410A8"/>
    <w:rsid w:val="00543377"/>
    <w:rsid w:val="00557A2B"/>
    <w:rsid w:val="00560AFE"/>
    <w:rsid w:val="00562E67"/>
    <w:rsid w:val="00571A03"/>
    <w:rsid w:val="005738CB"/>
    <w:rsid w:val="00575E30"/>
    <w:rsid w:val="0059427B"/>
    <w:rsid w:val="00595F01"/>
    <w:rsid w:val="005C1D1A"/>
    <w:rsid w:val="005D4137"/>
    <w:rsid w:val="005F17E6"/>
    <w:rsid w:val="005F5245"/>
    <w:rsid w:val="0061113C"/>
    <w:rsid w:val="00613C67"/>
    <w:rsid w:val="006321B6"/>
    <w:rsid w:val="006333FE"/>
    <w:rsid w:val="00636ACD"/>
    <w:rsid w:val="006545BA"/>
    <w:rsid w:val="0065603A"/>
    <w:rsid w:val="00657A76"/>
    <w:rsid w:val="00665285"/>
    <w:rsid w:val="00681C3A"/>
    <w:rsid w:val="00687ECB"/>
    <w:rsid w:val="0069533B"/>
    <w:rsid w:val="00695722"/>
    <w:rsid w:val="006A6D8D"/>
    <w:rsid w:val="006A73E3"/>
    <w:rsid w:val="006C480F"/>
    <w:rsid w:val="006C793A"/>
    <w:rsid w:val="006E76F3"/>
    <w:rsid w:val="006F19A6"/>
    <w:rsid w:val="007055F1"/>
    <w:rsid w:val="00707FB6"/>
    <w:rsid w:val="00721651"/>
    <w:rsid w:val="00722132"/>
    <w:rsid w:val="00737E62"/>
    <w:rsid w:val="007475D8"/>
    <w:rsid w:val="007623AC"/>
    <w:rsid w:val="00762D35"/>
    <w:rsid w:val="00775392"/>
    <w:rsid w:val="007B1A91"/>
    <w:rsid w:val="007C163C"/>
    <w:rsid w:val="0080099F"/>
    <w:rsid w:val="00800A7B"/>
    <w:rsid w:val="008034A3"/>
    <w:rsid w:val="00806E42"/>
    <w:rsid w:val="00816085"/>
    <w:rsid w:val="008209C8"/>
    <w:rsid w:val="00822015"/>
    <w:rsid w:val="00822933"/>
    <w:rsid w:val="008267F2"/>
    <w:rsid w:val="00835D0A"/>
    <w:rsid w:val="00844FF6"/>
    <w:rsid w:val="0084637B"/>
    <w:rsid w:val="0085400D"/>
    <w:rsid w:val="0085634A"/>
    <w:rsid w:val="00865ABA"/>
    <w:rsid w:val="0088436C"/>
    <w:rsid w:val="008A05B3"/>
    <w:rsid w:val="008F5494"/>
    <w:rsid w:val="009214E8"/>
    <w:rsid w:val="00946243"/>
    <w:rsid w:val="00947032"/>
    <w:rsid w:val="009518E7"/>
    <w:rsid w:val="00951C96"/>
    <w:rsid w:val="00952431"/>
    <w:rsid w:val="0095670A"/>
    <w:rsid w:val="009711D4"/>
    <w:rsid w:val="00984A63"/>
    <w:rsid w:val="00992C36"/>
    <w:rsid w:val="00995156"/>
    <w:rsid w:val="009B49B9"/>
    <w:rsid w:val="009B70B9"/>
    <w:rsid w:val="009D0258"/>
    <w:rsid w:val="009E00BF"/>
    <w:rsid w:val="009E394F"/>
    <w:rsid w:val="009F3F79"/>
    <w:rsid w:val="009F7D11"/>
    <w:rsid w:val="00A03B42"/>
    <w:rsid w:val="00A11810"/>
    <w:rsid w:val="00A14529"/>
    <w:rsid w:val="00A30889"/>
    <w:rsid w:val="00A406CA"/>
    <w:rsid w:val="00A5397C"/>
    <w:rsid w:val="00A54FCE"/>
    <w:rsid w:val="00A61ADF"/>
    <w:rsid w:val="00A67BDF"/>
    <w:rsid w:val="00A73239"/>
    <w:rsid w:val="00A73905"/>
    <w:rsid w:val="00A82D77"/>
    <w:rsid w:val="00A94B66"/>
    <w:rsid w:val="00AB2CDF"/>
    <w:rsid w:val="00AC7959"/>
    <w:rsid w:val="00AF5A35"/>
    <w:rsid w:val="00B02C42"/>
    <w:rsid w:val="00B27768"/>
    <w:rsid w:val="00B604EA"/>
    <w:rsid w:val="00B73756"/>
    <w:rsid w:val="00B86A6A"/>
    <w:rsid w:val="00B91A86"/>
    <w:rsid w:val="00B937EF"/>
    <w:rsid w:val="00B945EB"/>
    <w:rsid w:val="00BD3F70"/>
    <w:rsid w:val="00BE0CA4"/>
    <w:rsid w:val="00BE5F64"/>
    <w:rsid w:val="00BE637E"/>
    <w:rsid w:val="00BF0677"/>
    <w:rsid w:val="00BF1E6D"/>
    <w:rsid w:val="00BF7F46"/>
    <w:rsid w:val="00C00389"/>
    <w:rsid w:val="00C21D95"/>
    <w:rsid w:val="00C45914"/>
    <w:rsid w:val="00C9398A"/>
    <w:rsid w:val="00CB2F39"/>
    <w:rsid w:val="00CC61A6"/>
    <w:rsid w:val="00CE15DA"/>
    <w:rsid w:val="00CE37CE"/>
    <w:rsid w:val="00CF0C12"/>
    <w:rsid w:val="00D03308"/>
    <w:rsid w:val="00D04810"/>
    <w:rsid w:val="00D07900"/>
    <w:rsid w:val="00D13087"/>
    <w:rsid w:val="00D1410E"/>
    <w:rsid w:val="00D150DA"/>
    <w:rsid w:val="00D16626"/>
    <w:rsid w:val="00D17436"/>
    <w:rsid w:val="00D20484"/>
    <w:rsid w:val="00D2423F"/>
    <w:rsid w:val="00D374E1"/>
    <w:rsid w:val="00D47E83"/>
    <w:rsid w:val="00D51433"/>
    <w:rsid w:val="00D546B8"/>
    <w:rsid w:val="00D56970"/>
    <w:rsid w:val="00D62A5B"/>
    <w:rsid w:val="00D64AF4"/>
    <w:rsid w:val="00D70EEA"/>
    <w:rsid w:val="00DA04BD"/>
    <w:rsid w:val="00DB0CFB"/>
    <w:rsid w:val="00DB32CF"/>
    <w:rsid w:val="00DC2909"/>
    <w:rsid w:val="00E02F32"/>
    <w:rsid w:val="00E043A9"/>
    <w:rsid w:val="00E11582"/>
    <w:rsid w:val="00E1165F"/>
    <w:rsid w:val="00E36A50"/>
    <w:rsid w:val="00E41315"/>
    <w:rsid w:val="00E4433B"/>
    <w:rsid w:val="00E7065B"/>
    <w:rsid w:val="00E803EE"/>
    <w:rsid w:val="00E82B95"/>
    <w:rsid w:val="00EC682D"/>
    <w:rsid w:val="00EC7B5E"/>
    <w:rsid w:val="00EE5AA1"/>
    <w:rsid w:val="00EF2AE8"/>
    <w:rsid w:val="00EF3FC9"/>
    <w:rsid w:val="00F064FC"/>
    <w:rsid w:val="00F07410"/>
    <w:rsid w:val="00F148E3"/>
    <w:rsid w:val="00F17F63"/>
    <w:rsid w:val="00F22239"/>
    <w:rsid w:val="00F308AB"/>
    <w:rsid w:val="00F32FB1"/>
    <w:rsid w:val="00F343BD"/>
    <w:rsid w:val="00F46268"/>
    <w:rsid w:val="00F70522"/>
    <w:rsid w:val="00F74C6D"/>
    <w:rsid w:val="00F91D7F"/>
    <w:rsid w:val="00F962AF"/>
    <w:rsid w:val="00FA2880"/>
    <w:rsid w:val="00FB5308"/>
    <w:rsid w:val="00FC3BDB"/>
    <w:rsid w:val="00FD38AE"/>
    <w:rsid w:val="00FE1450"/>
    <w:rsid w:val="2FD16245"/>
  </w:rsids>
  <m:mathPr>
    <m:mathFont m:val="Cambria Math"/>
    <m:brkBin m:val="before"/>
    <m:brkBinSub m:val="--"/>
    <m:smallFrac m:val="0"/>
    <m:dispDef/>
    <m:lMargin m:val="0"/>
    <m:rMargin m:val="0"/>
    <m:defJc m:val="centerGroup"/>
    <m:wrapIndent m:val="1440"/>
    <m:intLim m:val="subSup"/>
    <m:naryLim m:val="undOvr"/>
  </m:mathPr>
  <w:themeFontLang w:val="lv-LV"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Times New Roman" w:hAnsi="Times New Roman" w:eastAsiaTheme="minorHAnsi" w:cstheme="minorBidi"/>
      <w:sz w:val="28"/>
      <w:szCs w:val="22"/>
      <w:lang w:val="lv-LV" w:eastAsia="en-US" w:bidi="ar-SA"/>
    </w:rPr>
  </w:style>
  <w:style w:type="paragraph" w:styleId="2">
    <w:name w:val="heading 3"/>
    <w:basedOn w:val="1"/>
    <w:next w:val="1"/>
    <w:link w:val="11"/>
    <w:semiHidden/>
    <w:unhideWhenUsed/>
    <w:qFormat/>
    <w:uiPriority w:val="9"/>
    <w:pPr>
      <w:keepNext/>
      <w:keepLines/>
      <w:spacing w:before="200"/>
      <w:outlineLvl w:val="2"/>
    </w:pPr>
    <w:rPr>
      <w:rFonts w:asciiTheme="majorHAnsi" w:hAnsiTheme="majorHAnsi" w:eastAsiaTheme="majorEastAsia" w:cstheme="majorBidi"/>
      <w:b/>
      <w:bCs/>
      <w:color w:val="5B9BD5" w:themeColor="accent1"/>
      <w14:textFill>
        <w14:solidFill>
          <w14:schemeClr w14:val="accent1"/>
        </w14:solidFill>
      </w14:textFill>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5"/>
    <w:semiHidden/>
    <w:unhideWhenUsed/>
    <w:qFormat/>
    <w:uiPriority w:val="99"/>
    <w:rPr>
      <w:rFonts w:ascii="Tahoma" w:hAnsi="Tahoma" w:cs="Tahoma"/>
      <w:sz w:val="16"/>
      <w:szCs w:val="16"/>
    </w:rPr>
  </w:style>
  <w:style w:type="paragraph" w:styleId="6">
    <w:name w:val="footer"/>
    <w:basedOn w:val="1"/>
    <w:link w:val="13"/>
    <w:unhideWhenUsed/>
    <w:qFormat/>
    <w:uiPriority w:val="99"/>
    <w:pPr>
      <w:tabs>
        <w:tab w:val="center" w:pos="4153"/>
        <w:tab w:val="right" w:pos="8306"/>
      </w:tabs>
    </w:pPr>
  </w:style>
  <w:style w:type="paragraph" w:styleId="7">
    <w:name w:val="header"/>
    <w:basedOn w:val="1"/>
    <w:link w:val="12"/>
    <w:unhideWhenUsed/>
    <w:qFormat/>
    <w:uiPriority w:val="99"/>
    <w:pPr>
      <w:tabs>
        <w:tab w:val="center" w:pos="4153"/>
        <w:tab w:val="right" w:pos="8306"/>
      </w:tabs>
    </w:pPr>
  </w:style>
  <w:style w:type="character" w:styleId="8">
    <w:name w:val="Hyperlink"/>
    <w:basedOn w:val="3"/>
    <w:unhideWhenUsed/>
    <w:qFormat/>
    <w:uiPriority w:val="99"/>
    <w:rPr>
      <w:color w:val="0000FF"/>
      <w:u w:val="single"/>
    </w:rPr>
  </w:style>
  <w:style w:type="character" w:styleId="9">
    <w:name w:val="Strong"/>
    <w:basedOn w:val="3"/>
    <w:qFormat/>
    <w:uiPriority w:val="22"/>
    <w:rPr>
      <w:b/>
      <w:bCs/>
    </w:rPr>
  </w:style>
  <w:style w:type="table" w:styleId="10">
    <w:name w:val="Table Grid"/>
    <w:basedOn w:val="4"/>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Heading 3 Char"/>
    <w:basedOn w:val="3"/>
    <w:link w:val="2"/>
    <w:semiHidden/>
    <w:uiPriority w:val="9"/>
    <w:rPr>
      <w:rFonts w:asciiTheme="majorHAnsi" w:hAnsiTheme="majorHAnsi" w:eastAsiaTheme="majorEastAsia" w:cstheme="majorBidi"/>
      <w:b/>
      <w:bCs/>
      <w:color w:val="5B9BD5" w:themeColor="accent1"/>
      <w:sz w:val="28"/>
      <w14:textFill>
        <w14:solidFill>
          <w14:schemeClr w14:val="accent1"/>
        </w14:solidFill>
      </w14:textFill>
    </w:rPr>
  </w:style>
  <w:style w:type="character" w:customStyle="1" w:styleId="12">
    <w:name w:val="Header Char"/>
    <w:basedOn w:val="3"/>
    <w:link w:val="7"/>
    <w:qFormat/>
    <w:uiPriority w:val="99"/>
    <w:rPr>
      <w:rFonts w:ascii="Times New Roman" w:hAnsi="Times New Roman"/>
      <w:sz w:val="28"/>
    </w:rPr>
  </w:style>
  <w:style w:type="character" w:customStyle="1" w:styleId="13">
    <w:name w:val="Footer Char"/>
    <w:basedOn w:val="3"/>
    <w:link w:val="6"/>
    <w:qFormat/>
    <w:uiPriority w:val="99"/>
    <w:rPr>
      <w:rFonts w:ascii="Times New Roman" w:hAnsi="Times New Roman"/>
      <w:sz w:val="28"/>
    </w:rPr>
  </w:style>
  <w:style w:type="paragraph" w:styleId="14">
    <w:name w:val="List Paragraph"/>
    <w:basedOn w:val="1"/>
    <w:qFormat/>
    <w:uiPriority w:val="34"/>
    <w:pPr>
      <w:ind w:left="720"/>
      <w:contextualSpacing/>
    </w:pPr>
  </w:style>
  <w:style w:type="character" w:customStyle="1" w:styleId="15">
    <w:name w:val="Balloon Text Char"/>
    <w:basedOn w:val="3"/>
    <w:link w:val="5"/>
    <w:semiHidden/>
    <w:qFormat/>
    <w:uiPriority w:val="99"/>
    <w:rPr>
      <w:rFonts w:ascii="Tahoma" w:hAnsi="Tahoma" w:cs="Tahoma"/>
      <w:sz w:val="16"/>
      <w:szCs w:val="16"/>
    </w:rPr>
  </w:style>
  <w:style w:type="paragraph" w:styleId="16">
    <w:name w:val="No Spacing"/>
    <w:qFormat/>
    <w:uiPriority w:val="1"/>
    <w:pPr>
      <w:spacing w:after="0" w:line="240" w:lineRule="auto"/>
    </w:pPr>
    <w:rPr>
      <w:rFonts w:ascii="Times New Roman" w:hAnsi="Times New Roman" w:eastAsiaTheme="minorHAnsi" w:cstheme="minorBidi"/>
      <w:sz w:val="28"/>
      <w:szCs w:val="22"/>
      <w:lang w:val="lv-LV" w:eastAsia="en-US" w:bidi="ar-SA"/>
    </w:rPr>
  </w:style>
  <w:style w:type="character" w:customStyle="1" w:styleId="17">
    <w:name w:val="Noklusējuma rindkopas fonts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customXml" Target="../customXml/item3.xml"/><Relationship Id="rId37" Type="http://schemas.openxmlformats.org/officeDocument/2006/relationships/customXml" Target="../customXml/item2.xml"/><Relationship Id="rId36" Type="http://schemas.openxmlformats.org/officeDocument/2006/relationships/customXml" Target="../customXml/item1.xml"/><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footnotes" Target="footnotes.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1c74381-dc3c-4479-9b87-d8eeaf7b32e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E37F137455B93439282E22A462EE927" ma:contentTypeVersion="16" ma:contentTypeDescription="Create a new document." ma:contentTypeScope="" ma:versionID="4d2ac87e8b3ad7f65f003fa9a30c9a83">
  <xsd:schema xmlns:xsd="http://www.w3.org/2001/XMLSchema" xmlns:xs="http://www.w3.org/2001/XMLSchema" xmlns:p="http://schemas.microsoft.com/office/2006/metadata/properties" xmlns:ns3="61c74381-dc3c-4479-9b87-d8eeaf7b32e8" xmlns:ns4="1a489297-45e4-40ef-82e9-7b880fbdc7b2" targetNamespace="http://schemas.microsoft.com/office/2006/metadata/properties" ma:root="true" ma:fieldsID="244523438b553c924afde2c5b5e6a357" ns3:_="" ns4:_="">
    <xsd:import namespace="61c74381-dc3c-4479-9b87-d8eeaf7b32e8"/>
    <xsd:import namespace="1a489297-45e4-40ef-82e9-7b880fbdc7b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74381-dc3c-4479-9b87-d8eeaf7b32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a489297-45e4-40ef-82e9-7b880fbdc7b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DA3802-648E-42FE-87AE-654973E11FDD}">
  <ds:schemaRefs/>
</ds:datastoreItem>
</file>

<file path=customXml/itemProps2.xml><?xml version="1.0" encoding="utf-8"?>
<ds:datastoreItem xmlns:ds="http://schemas.openxmlformats.org/officeDocument/2006/customXml" ds:itemID="{43FC0BF2-4A9D-4C73-90B0-724F20AB1C63}">
  <ds:schemaRefs/>
</ds:datastoreItem>
</file>

<file path=customXml/itemProps3.xml><?xml version="1.0" encoding="utf-8"?>
<ds:datastoreItem xmlns:ds="http://schemas.openxmlformats.org/officeDocument/2006/customXml" ds:itemID="{AE2BC7EC-9F09-4AC2-ACF3-5D6423D28C77}">
  <ds:schemaRefs/>
</ds:datastoreItem>
</file>

<file path=docProps/app.xml><?xml version="1.0" encoding="utf-8"?>
<Properties xmlns="http://schemas.openxmlformats.org/officeDocument/2006/extended-properties" xmlns:vt="http://schemas.openxmlformats.org/officeDocument/2006/docPropsVTypes">
  <Template>Normal</Template>
  <Company>EM</Company>
  <Pages>26</Pages>
  <Words>15226</Words>
  <Characters>8680</Characters>
  <Lines>72</Lines>
  <Paragraphs>47</Paragraphs>
  <TotalTime>3</TotalTime>
  <ScaleCrop>false</ScaleCrop>
  <LinksUpToDate>false</LinksUpToDate>
  <CharactersWithSpaces>23859</CharactersWithSpaces>
  <Application>WPS Office_12.2.0.17153_F1E327BC-269C-435d-A152-05C5408002CA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2023-12-07T10:12:00Z</dcterms:created>
  <dc:creator>Elga Bučinska</dc:creator>
  <cp:lastModifiedBy>SP00103</cp:lastModifiedBy>
  <cp:lastPrinted>2015-06-30T12:32:00Z</cp:lastPrinted>
  <dcterms:modified xsi:type="dcterms:W3CDTF">2024-08-15T13:32:18Z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0x0101007E37F137455B93439282E22A462EE927</vt:lpwstr>
  </property>
  <property fmtid="{D5CDD505-2E9C-101B-9397-08002B2CF9AE}" pid="3" name="KSOProductBuildVer">
    <vt:lpwstr>1033-12.2.0.17153</vt:lpwstr>
  </property>
  <property fmtid="{D5CDD505-2E9C-101B-9397-08002B2CF9AE}" pid="4" name="ICV">
    <vt:lpwstr>EEF6B80A61564D09A6C9D743DAE992E6_13</vt:lpwstr>
  </property>
</Properties>
</file>