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E6FB6C50-C87B-4C93-AD66-2BA1055311DE}"/>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