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10</w:t>
      </w:r>
      <w:r>
        <w:rPr>
          <w:rFonts w:ascii="Times New Roman" w:cs="Times New Roman" w:eastAsia="Times New Roman" w:hAnsi="Times New Roman"/>
          <w:sz w:val="20"/>
          <w:szCs w:val="20"/>
        </w:rPr>
        <w:t>. oktobra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Nr.1-16.1/54</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kafijas automāta tirdzniecības vietas nomu, kas atrodas Šveices ielā 13, Siguldā.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1-16.2/44</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atkārtotā izsole</w:t>
      </w:r>
      <w:r>
        <w:rPr>
          <w:rFonts w:ascii="Times New Roman" w:cs="Times New Roman" w:eastAsia="Times New Roman" w:hAnsi="Times New Roman"/>
          <w:color w:val="000000"/>
        </w:rPr>
        <w:t>,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1-16.2/44</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Bobsleja un kamaniņu trasē “Sigulda” Šveices ielā 13</w:t>
      </w:r>
      <w:r>
        <w:rPr>
          <w:rFonts w:ascii="Times New Roman" w:cs="Times New Roman" w:eastAsia="Times New Roman" w:hAnsi="Times New Roman"/>
          <w:color w:val="000000"/>
        </w:rPr>
        <w:t>, Siguldā,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kafijas automāta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8</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(astoņdesmit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8</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(astoņi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b w:val="off"/>
          <w:bCs w:val="off"/>
          <w:color w:val="000000"/>
        </w:rPr>
        <w:t>Arni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24</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24</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kafijas automāta tirdzniecības vietas nomu, kas atrodas Šveices ielā 13, Siguldā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.1-16.2/44”</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„Neatvērt pirms piedāvājumu atvēršanas sanāksmes”</w:t>
      </w:r>
      <w:r>
        <w:rPr>
          <w:rFonts w:ascii="Times New Roman" w:cs="Times New Roman" w:eastAsia="Times New Roman" w:hAnsi="Times New Roman"/>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24</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