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7BCC1B8F"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24</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D5E54"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6167B8EE"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9F44AC" w:rsidRPr="009F44AC">
        <w:rPr>
          <w:sz w:val="22"/>
          <w:szCs w:val="22"/>
        </w:rPr>
        <w:t xml:space="preserve">Par </w:t>
      </w:r>
      <w:r w:rsidR="00C31CF5" w:rsidRPr="00C31CF5">
        <w:rPr>
          <w:sz w:val="22"/>
          <w:szCs w:val="22"/>
        </w:rPr>
        <w:t>nomas tiesību piešķiršanu lauksaimniecības zemei 59.41 ha kopplatībā, zemes vienības ar kadastra apzīmējumu 88540070061 daļā, nekustamā īpašumā “</w:t>
      </w:r>
      <w:proofErr w:type="spellStart"/>
      <w:r w:rsidR="00C31CF5" w:rsidRPr="00C31CF5">
        <w:rPr>
          <w:sz w:val="22"/>
          <w:szCs w:val="22"/>
        </w:rPr>
        <w:t>Iliņu</w:t>
      </w:r>
      <w:proofErr w:type="spellEnd"/>
      <w:r w:rsidR="00C31CF5" w:rsidRPr="00C31CF5">
        <w:rPr>
          <w:sz w:val="22"/>
          <w:szCs w:val="22"/>
        </w:rPr>
        <w:t xml:space="preserve"> Mežs”, kad.nr. 88540070061, Talsu novada Ģibuļu pagastā un zemes vienības ar kadastra apzīmējumu 88540020027 daļā, nekustamā īpašumā “Kalniņu Mežs”, kad.nr. 88540020027, Talsu novada Ģibuļu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46B720DE"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valsts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C31CF5">
        <w:rPr>
          <w:rFonts w:ascii="Times New Roman" w:hAnsi="Times New Roman"/>
          <w:b/>
          <w:bCs/>
          <w:sz w:val="22"/>
          <w:szCs w:val="22"/>
          <w:lang w:val="lv-LV"/>
        </w:rPr>
        <w:t>59.41</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w:t>
      </w:r>
      <w:r w:rsidR="00C31CF5">
        <w:rPr>
          <w:rFonts w:ascii="Times New Roman" w:hAnsi="Times New Roman"/>
          <w:sz w:val="22"/>
          <w:szCs w:val="22"/>
          <w:lang w:val="lv-LV"/>
        </w:rPr>
        <w:t xml:space="preserve">atrodas </w:t>
      </w:r>
      <w:proofErr w:type="spellStart"/>
      <w:r w:rsidR="00C31CF5" w:rsidRPr="00C31CF5">
        <w:rPr>
          <w:rFonts w:ascii="Times New Roman" w:hAnsi="Times New Roman"/>
          <w:sz w:val="22"/>
          <w:szCs w:val="22"/>
          <w:lang w:val="lv-LV"/>
        </w:rPr>
        <w:t>zemes</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vienības</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ar</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kadastra</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apzīmējumu</w:t>
      </w:r>
      <w:proofErr w:type="spellEnd"/>
      <w:r w:rsidR="00C31CF5" w:rsidRPr="00C31CF5">
        <w:rPr>
          <w:rFonts w:ascii="Times New Roman" w:hAnsi="Times New Roman"/>
          <w:sz w:val="22"/>
          <w:szCs w:val="22"/>
          <w:lang w:val="lv-LV"/>
        </w:rPr>
        <w:t xml:space="preserve"> 88540070061 </w:t>
      </w:r>
      <w:proofErr w:type="spellStart"/>
      <w:r w:rsidR="00C31CF5" w:rsidRPr="00C31CF5">
        <w:rPr>
          <w:rFonts w:ascii="Times New Roman" w:hAnsi="Times New Roman"/>
          <w:sz w:val="22"/>
          <w:szCs w:val="22"/>
          <w:lang w:val="lv-LV"/>
        </w:rPr>
        <w:t>daļā</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nekustamā</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īpašumā</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Iliņu</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Mežs</w:t>
      </w:r>
      <w:proofErr w:type="spellEnd"/>
      <w:r w:rsidR="00C31CF5" w:rsidRPr="00C31CF5">
        <w:rPr>
          <w:rFonts w:ascii="Times New Roman" w:hAnsi="Times New Roman"/>
          <w:sz w:val="22"/>
          <w:szCs w:val="22"/>
          <w:lang w:val="lv-LV"/>
        </w:rPr>
        <w:t xml:space="preserve">”, kad.nr. 88540070061, Talsu </w:t>
      </w:r>
      <w:proofErr w:type="spellStart"/>
      <w:r w:rsidR="00C31CF5" w:rsidRPr="00C31CF5">
        <w:rPr>
          <w:rFonts w:ascii="Times New Roman" w:hAnsi="Times New Roman"/>
          <w:sz w:val="22"/>
          <w:szCs w:val="22"/>
          <w:lang w:val="lv-LV"/>
        </w:rPr>
        <w:t>novada</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Ģibuļu</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pagastā</w:t>
      </w:r>
      <w:proofErr w:type="spellEnd"/>
      <w:r w:rsidR="00C31CF5" w:rsidRPr="00C31CF5">
        <w:rPr>
          <w:rFonts w:ascii="Times New Roman" w:hAnsi="Times New Roman"/>
          <w:sz w:val="22"/>
          <w:szCs w:val="22"/>
          <w:lang w:val="lv-LV"/>
        </w:rPr>
        <w:t xml:space="preserve"> un </w:t>
      </w:r>
      <w:proofErr w:type="spellStart"/>
      <w:r w:rsidR="00C31CF5" w:rsidRPr="00C31CF5">
        <w:rPr>
          <w:rFonts w:ascii="Times New Roman" w:hAnsi="Times New Roman"/>
          <w:sz w:val="22"/>
          <w:szCs w:val="22"/>
          <w:lang w:val="lv-LV"/>
        </w:rPr>
        <w:t>zemes</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vienības</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ar</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kadastra</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apzīmējumu</w:t>
      </w:r>
      <w:proofErr w:type="spellEnd"/>
      <w:r w:rsidR="00C31CF5" w:rsidRPr="00C31CF5">
        <w:rPr>
          <w:rFonts w:ascii="Times New Roman" w:hAnsi="Times New Roman"/>
          <w:sz w:val="22"/>
          <w:szCs w:val="22"/>
          <w:lang w:val="lv-LV"/>
        </w:rPr>
        <w:t xml:space="preserve"> 88540020027 </w:t>
      </w:r>
      <w:proofErr w:type="spellStart"/>
      <w:r w:rsidR="00C31CF5" w:rsidRPr="00C31CF5">
        <w:rPr>
          <w:rFonts w:ascii="Times New Roman" w:hAnsi="Times New Roman"/>
          <w:sz w:val="22"/>
          <w:szCs w:val="22"/>
          <w:lang w:val="lv-LV"/>
        </w:rPr>
        <w:t>daļā</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nekustamā</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īpašumā</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Kalniņu</w:t>
      </w:r>
      <w:proofErr w:type="spellEnd"/>
      <w:r w:rsidR="00C31CF5" w:rsidRPr="00C31CF5">
        <w:rPr>
          <w:rFonts w:ascii="Times New Roman" w:hAnsi="Times New Roman"/>
          <w:sz w:val="22"/>
          <w:szCs w:val="22"/>
          <w:lang w:val="lv-LV"/>
        </w:rPr>
        <w:t xml:space="preserve"> </w:t>
      </w:r>
      <w:proofErr w:type="spellStart"/>
      <w:r w:rsidR="00C31CF5" w:rsidRPr="00C31CF5">
        <w:rPr>
          <w:rFonts w:ascii="Times New Roman" w:hAnsi="Times New Roman"/>
          <w:sz w:val="22"/>
          <w:szCs w:val="22"/>
          <w:lang w:val="lv-LV"/>
        </w:rPr>
        <w:t>Mežs</w:t>
      </w:r>
      <w:proofErr w:type="spellEnd"/>
      <w:r w:rsidR="00C31CF5" w:rsidRPr="00C31CF5">
        <w:rPr>
          <w:rFonts w:ascii="Times New Roman" w:hAnsi="Times New Roman"/>
          <w:sz w:val="22"/>
          <w:szCs w:val="22"/>
          <w:lang w:val="lv-LV"/>
        </w:rPr>
        <w:t>”, kad.nr. 88540020027, Talsu novada Ģibuļu pagastā</w:t>
      </w:r>
      <w:r w:rsidR="00C31CF5">
        <w:rPr>
          <w:rFonts w:ascii="Times New Roman" w:hAnsi="Times New Roman"/>
          <w:sz w:val="22"/>
          <w:szCs w:val="22"/>
          <w:lang w:val="lv-LV"/>
        </w:rPr>
        <w:t xml:space="preserve"> </w:t>
      </w:r>
      <w:r w:rsidR="00B1207E" w:rsidRPr="004776C5">
        <w:rPr>
          <w:rFonts w:ascii="Times New Roman" w:hAnsi="Times New Roman"/>
          <w:sz w:val="22"/>
          <w:szCs w:val="22"/>
          <w:lang w:val="lv-LV"/>
        </w:rPr>
        <w:t>(turpmāk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74A268EA"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Īpašuma tiesības uz </w:t>
      </w:r>
      <w:r w:rsidR="00C31CF5">
        <w:rPr>
          <w:rFonts w:ascii="Times New Roman" w:hAnsi="Times New Roman"/>
          <w:sz w:val="22"/>
          <w:szCs w:val="22"/>
          <w:lang w:val="lv-LV"/>
        </w:rPr>
        <w:t>nekustamo īpašumu “</w:t>
      </w:r>
      <w:proofErr w:type="spellStart"/>
      <w:r w:rsidR="00C31CF5">
        <w:rPr>
          <w:rFonts w:ascii="Times New Roman" w:hAnsi="Times New Roman"/>
          <w:sz w:val="22"/>
          <w:szCs w:val="22"/>
          <w:lang w:val="lv-LV"/>
        </w:rPr>
        <w:t>Iliņu</w:t>
      </w:r>
      <w:proofErr w:type="spellEnd"/>
      <w:r w:rsidR="00C31CF5">
        <w:rPr>
          <w:rFonts w:ascii="Times New Roman" w:hAnsi="Times New Roman"/>
          <w:sz w:val="22"/>
          <w:szCs w:val="22"/>
          <w:lang w:val="lv-LV"/>
        </w:rPr>
        <w:t xml:space="preserve"> Mežs”</w:t>
      </w:r>
      <w:r w:rsidRPr="004776C5">
        <w:rPr>
          <w:rFonts w:ascii="Times New Roman" w:hAnsi="Times New Roman"/>
          <w:sz w:val="22"/>
          <w:szCs w:val="22"/>
          <w:lang w:val="lv-LV"/>
        </w:rPr>
        <w:t xml:space="preserve"> (kadastra nr.</w:t>
      </w:r>
      <w:r w:rsidR="005D1E10" w:rsidRPr="004776C5">
        <w:rPr>
          <w:rFonts w:ascii="Times New Roman" w:hAnsi="Times New Roman"/>
          <w:sz w:val="22"/>
          <w:szCs w:val="22"/>
          <w:lang w:val="lv-LV"/>
        </w:rPr>
        <w:t xml:space="preserve"> </w:t>
      </w:r>
      <w:r w:rsidR="00C31CF5" w:rsidRPr="00C31CF5">
        <w:rPr>
          <w:rFonts w:ascii="Times New Roman" w:hAnsi="Times New Roman"/>
          <w:sz w:val="22"/>
          <w:szCs w:val="22"/>
          <w:lang w:val="lv-LV"/>
        </w:rPr>
        <w:t>88540070061</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uz valsts vārda Latvijas Republikas Zemkopības ministrijas personā, </w:t>
      </w:r>
      <w:r w:rsidR="00C31CF5">
        <w:rPr>
          <w:rFonts w:ascii="Times New Roman" w:hAnsi="Times New Roman"/>
          <w:sz w:val="22"/>
          <w:szCs w:val="22"/>
          <w:lang w:val="lv-LV"/>
        </w:rPr>
        <w:t>Kurzemes</w:t>
      </w:r>
      <w:r w:rsidR="005D1E10" w:rsidRPr="004776C5">
        <w:rPr>
          <w:rFonts w:ascii="Times New Roman" w:hAnsi="Times New Roman"/>
          <w:sz w:val="22"/>
          <w:szCs w:val="22"/>
          <w:lang w:val="lv-LV"/>
        </w:rPr>
        <w:t xml:space="preserve"> rajona tiesas</w:t>
      </w:r>
      <w:r w:rsidR="00B1207E" w:rsidRPr="004776C5">
        <w:rPr>
          <w:rFonts w:ascii="Times New Roman" w:hAnsi="Times New Roman"/>
          <w:sz w:val="22"/>
          <w:szCs w:val="22"/>
          <w:lang w:val="lv-LV"/>
        </w:rPr>
        <w:t xml:space="preserve"> </w:t>
      </w:r>
      <w:r w:rsidR="006700E8">
        <w:rPr>
          <w:rFonts w:ascii="Times New Roman" w:hAnsi="Times New Roman"/>
          <w:sz w:val="22"/>
          <w:szCs w:val="22"/>
          <w:lang w:val="lv-LV"/>
        </w:rPr>
        <w:t>Ģibuļu</w:t>
      </w:r>
      <w:r w:rsidR="009F44AC" w:rsidRPr="009F44AC">
        <w:rPr>
          <w:rFonts w:ascii="Times New Roman" w:hAnsi="Times New Roman"/>
          <w:sz w:val="22"/>
          <w:szCs w:val="22"/>
          <w:lang w:val="lv-LV"/>
        </w:rPr>
        <w:t xml:space="preserve"> pagasta zemesgrāmatas nodalījumā  Nr. 1</w:t>
      </w:r>
      <w:r w:rsidR="006700E8" w:rsidRPr="006700E8">
        <w:rPr>
          <w:rFonts w:ascii="Times New Roman" w:hAnsi="Times New Roman"/>
          <w:sz w:val="22"/>
          <w:szCs w:val="22"/>
          <w:lang w:val="lv-LV"/>
        </w:rPr>
        <w:t>00000175215</w:t>
      </w:r>
      <w:r w:rsidR="006700E8">
        <w:rPr>
          <w:rFonts w:ascii="Times New Roman" w:hAnsi="Times New Roman"/>
          <w:sz w:val="22"/>
          <w:szCs w:val="22"/>
          <w:lang w:val="lv-LV"/>
        </w:rPr>
        <w:t xml:space="preserve"> un ī</w:t>
      </w:r>
      <w:r w:rsidR="006700E8" w:rsidRPr="004776C5">
        <w:rPr>
          <w:rFonts w:ascii="Times New Roman" w:hAnsi="Times New Roman"/>
          <w:sz w:val="22"/>
          <w:szCs w:val="22"/>
          <w:lang w:val="lv-LV"/>
        </w:rPr>
        <w:t xml:space="preserve">pašuma tiesības uz </w:t>
      </w:r>
      <w:r w:rsidR="006700E8">
        <w:rPr>
          <w:rFonts w:ascii="Times New Roman" w:hAnsi="Times New Roman"/>
          <w:sz w:val="22"/>
          <w:szCs w:val="22"/>
          <w:lang w:val="lv-LV"/>
        </w:rPr>
        <w:t>nekustamo īpašumu “</w:t>
      </w:r>
      <w:r w:rsidR="006700E8">
        <w:rPr>
          <w:rFonts w:ascii="Times New Roman" w:hAnsi="Times New Roman"/>
          <w:sz w:val="22"/>
          <w:szCs w:val="22"/>
          <w:lang w:val="lv-LV"/>
        </w:rPr>
        <w:t>Kalniņu</w:t>
      </w:r>
      <w:r w:rsidR="006700E8">
        <w:rPr>
          <w:rFonts w:ascii="Times New Roman" w:hAnsi="Times New Roman"/>
          <w:sz w:val="22"/>
          <w:szCs w:val="22"/>
          <w:lang w:val="lv-LV"/>
        </w:rPr>
        <w:t xml:space="preserve"> Mežs”</w:t>
      </w:r>
      <w:r w:rsidR="006700E8" w:rsidRPr="004776C5">
        <w:rPr>
          <w:rFonts w:ascii="Times New Roman" w:hAnsi="Times New Roman"/>
          <w:sz w:val="22"/>
          <w:szCs w:val="22"/>
          <w:lang w:val="lv-LV"/>
        </w:rPr>
        <w:t xml:space="preserve"> (kadastra nr. </w:t>
      </w:r>
      <w:r w:rsidR="006700E8" w:rsidRPr="006700E8">
        <w:rPr>
          <w:rFonts w:ascii="Times New Roman" w:hAnsi="Times New Roman"/>
          <w:sz w:val="22"/>
          <w:szCs w:val="22"/>
          <w:lang w:val="lv-LV"/>
        </w:rPr>
        <w:t>88540020027</w:t>
      </w:r>
      <w:r w:rsidR="006700E8" w:rsidRPr="004776C5">
        <w:rPr>
          <w:rFonts w:ascii="Times New Roman" w:hAnsi="Times New Roman"/>
          <w:sz w:val="22"/>
          <w:szCs w:val="22"/>
          <w:lang w:val="lv-LV"/>
        </w:rPr>
        <w:t xml:space="preserve">) nostiprinātas uz valsts vārda Latvijas Republikas Zemkopības ministrijas personā, </w:t>
      </w:r>
      <w:r w:rsidR="006700E8">
        <w:rPr>
          <w:rFonts w:ascii="Times New Roman" w:hAnsi="Times New Roman"/>
          <w:sz w:val="22"/>
          <w:szCs w:val="22"/>
          <w:lang w:val="lv-LV"/>
        </w:rPr>
        <w:t>Kurzemes</w:t>
      </w:r>
      <w:r w:rsidR="006700E8" w:rsidRPr="004776C5">
        <w:rPr>
          <w:rFonts w:ascii="Times New Roman" w:hAnsi="Times New Roman"/>
          <w:sz w:val="22"/>
          <w:szCs w:val="22"/>
          <w:lang w:val="lv-LV"/>
        </w:rPr>
        <w:t xml:space="preserve"> rajona tiesas </w:t>
      </w:r>
      <w:r w:rsidR="006700E8">
        <w:rPr>
          <w:rFonts w:ascii="Times New Roman" w:hAnsi="Times New Roman"/>
          <w:sz w:val="22"/>
          <w:szCs w:val="22"/>
          <w:lang w:val="lv-LV"/>
        </w:rPr>
        <w:t>Ģibuļu</w:t>
      </w:r>
      <w:r w:rsidR="006700E8" w:rsidRPr="009F44AC">
        <w:rPr>
          <w:rFonts w:ascii="Times New Roman" w:hAnsi="Times New Roman"/>
          <w:sz w:val="22"/>
          <w:szCs w:val="22"/>
          <w:lang w:val="lv-LV"/>
        </w:rPr>
        <w:t xml:space="preserve"> pagasta zemesgrāmatas nodalījumā  Nr. 1</w:t>
      </w:r>
      <w:r w:rsidR="006700E8" w:rsidRPr="006700E8">
        <w:rPr>
          <w:rFonts w:ascii="Times New Roman" w:hAnsi="Times New Roman"/>
          <w:sz w:val="22"/>
          <w:szCs w:val="22"/>
          <w:lang w:val="lv-LV"/>
        </w:rPr>
        <w:t>00000175213</w:t>
      </w:r>
      <w:r w:rsidR="0007243F" w:rsidRPr="004776C5">
        <w:rPr>
          <w:rFonts w:ascii="Times New Roman" w:hAnsi="Times New Roman"/>
          <w:sz w:val="22"/>
          <w:szCs w:val="22"/>
          <w:lang w:val="lv-LV"/>
        </w:rPr>
        <w:t>.</w:t>
      </w:r>
    </w:p>
    <w:p w14:paraId="00B7254B" w14:textId="5D820712"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robežas Nomniekam dabā ir ierādītas un tās ir zināmas. </w:t>
      </w:r>
    </w:p>
    <w:p w14:paraId="1DD5D967" w14:textId="159FC80E"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6700E8">
        <w:rPr>
          <w:rFonts w:ascii="Times New Roman" w:hAnsi="Times New Roman"/>
          <w:sz w:val="22"/>
          <w:szCs w:val="22"/>
          <w:lang w:val="lv-LV"/>
        </w:rPr>
        <w:t>.</w:t>
      </w:r>
    </w:p>
    <w:p w14:paraId="6DB2BFD0" w14:textId="7D9A0E4E" w:rsidR="002B275A"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 ir apgrūtināta ar šādiem aprobežojumiem un servitūtiem</w:t>
      </w:r>
      <w:r w:rsidR="006700E8">
        <w:rPr>
          <w:rFonts w:ascii="Times New Roman" w:hAnsi="Times New Roman"/>
          <w:sz w:val="22"/>
          <w:szCs w:val="22"/>
          <w:lang w:val="lv-LV"/>
        </w:rPr>
        <w:t xml:space="preserve"> (abām zemes vienībām vienādi apgrūtinājumi)</w:t>
      </w:r>
      <w:r w:rsidRPr="004776C5">
        <w:rPr>
          <w:rFonts w:ascii="Times New Roman" w:hAnsi="Times New Roman"/>
          <w:sz w:val="22"/>
          <w:szCs w:val="22"/>
          <w:lang w:val="lv-LV"/>
        </w:rPr>
        <w:t xml:space="preserve">: </w:t>
      </w:r>
    </w:p>
    <w:p w14:paraId="68578928" w14:textId="77777777" w:rsidR="006700E8" w:rsidRDefault="006700E8" w:rsidP="00AA766C">
      <w:pPr>
        <w:pStyle w:val="Sarakstarindkopa"/>
        <w:numPr>
          <w:ilvl w:val="2"/>
          <w:numId w:val="14"/>
        </w:numPr>
        <w:ind w:left="1134" w:hanging="578"/>
        <w:jc w:val="both"/>
        <w:rPr>
          <w:sz w:val="22"/>
          <w:szCs w:val="22"/>
        </w:rPr>
      </w:pPr>
      <w:r w:rsidRPr="006700E8">
        <w:rPr>
          <w:sz w:val="22"/>
          <w:szCs w:val="22"/>
        </w:rPr>
        <w:t>līdz 10 kilometriem garas dabiskas ūdensteces vides un dabas resursu aizsardzības aizsargjoslas teritorija lauku apvidos;</w:t>
      </w:r>
    </w:p>
    <w:p w14:paraId="6D14A599" w14:textId="095D6130" w:rsidR="00AA766C" w:rsidRPr="00AA766C" w:rsidRDefault="006700E8" w:rsidP="00AA766C">
      <w:pPr>
        <w:pStyle w:val="Sarakstarindkopa"/>
        <w:numPr>
          <w:ilvl w:val="2"/>
          <w:numId w:val="14"/>
        </w:numPr>
        <w:ind w:left="1134" w:hanging="578"/>
        <w:jc w:val="both"/>
        <w:rPr>
          <w:sz w:val="22"/>
          <w:szCs w:val="22"/>
        </w:rPr>
      </w:pPr>
      <w:r w:rsidRPr="006700E8">
        <w:rPr>
          <w:sz w:val="22"/>
          <w:szCs w:val="22"/>
        </w:rPr>
        <w:t>ekspluatācijas aizsargjoslas teritorija gar valsts vietējiem un pašvaldību autoceļiem lauku apvidos (pa</w:t>
      </w:r>
      <w:r w:rsidR="00B86B2D">
        <w:rPr>
          <w:sz w:val="22"/>
          <w:szCs w:val="22"/>
        </w:rPr>
        <w:t>švaldības</w:t>
      </w:r>
      <w:r w:rsidRPr="006700E8">
        <w:rPr>
          <w:sz w:val="22"/>
          <w:szCs w:val="22"/>
        </w:rPr>
        <w:t xml:space="preserve"> autoceļš "</w:t>
      </w:r>
      <w:proofErr w:type="spellStart"/>
      <w:r w:rsidRPr="006700E8">
        <w:rPr>
          <w:sz w:val="22"/>
          <w:szCs w:val="22"/>
        </w:rPr>
        <w:t>Ūķnieki</w:t>
      </w:r>
      <w:proofErr w:type="spellEnd"/>
      <w:r w:rsidRPr="006700E8">
        <w:rPr>
          <w:sz w:val="22"/>
          <w:szCs w:val="22"/>
        </w:rPr>
        <w:t>- Glūdas")</w:t>
      </w:r>
      <w:r w:rsidR="00AA766C" w:rsidRPr="00AA766C">
        <w:rPr>
          <w:sz w:val="22"/>
          <w:szCs w:val="22"/>
        </w:rPr>
        <w:t>;</w:t>
      </w:r>
    </w:p>
    <w:p w14:paraId="0EE68A8E" w14:textId="77777777" w:rsidR="006700E8" w:rsidRPr="006700E8" w:rsidRDefault="006700E8" w:rsidP="00AA766C">
      <w:pPr>
        <w:pStyle w:val="Sarakstarindkopa"/>
        <w:numPr>
          <w:ilvl w:val="2"/>
          <w:numId w:val="14"/>
        </w:numPr>
        <w:ind w:left="1134" w:hanging="578"/>
        <w:jc w:val="both"/>
        <w:rPr>
          <w:i/>
          <w:iCs/>
          <w:sz w:val="22"/>
          <w:szCs w:val="22"/>
        </w:rPr>
      </w:pPr>
      <w:r w:rsidRPr="006700E8">
        <w:rPr>
          <w:sz w:val="22"/>
          <w:szCs w:val="22"/>
        </w:rPr>
        <w:t>ūdensnotekas (ūdensteču regulēta posma un speciāli raktas gultnes), kā arī uz tās esošas hidrotehniskas būves un</w:t>
      </w:r>
      <w:r>
        <w:rPr>
          <w:sz w:val="22"/>
          <w:szCs w:val="22"/>
        </w:rPr>
        <w:t xml:space="preserve"> </w:t>
      </w:r>
      <w:r w:rsidRPr="006700E8">
        <w:rPr>
          <w:sz w:val="22"/>
          <w:szCs w:val="22"/>
        </w:rPr>
        <w:t>ierīces ekspluatācijas aizsargjoslas teritorija meža zemēs</w:t>
      </w:r>
      <w:r>
        <w:rPr>
          <w:sz w:val="22"/>
          <w:szCs w:val="22"/>
        </w:rPr>
        <w:t>;</w:t>
      </w:r>
    </w:p>
    <w:p w14:paraId="3BEB97AF" w14:textId="017338AA" w:rsidR="00AA766C" w:rsidRPr="00AA766C" w:rsidRDefault="006700E8" w:rsidP="00AA766C">
      <w:pPr>
        <w:pStyle w:val="Sarakstarindkopa"/>
        <w:numPr>
          <w:ilvl w:val="2"/>
          <w:numId w:val="14"/>
        </w:numPr>
        <w:ind w:left="1134" w:hanging="578"/>
        <w:jc w:val="both"/>
        <w:rPr>
          <w:i/>
          <w:iCs/>
          <w:sz w:val="22"/>
          <w:szCs w:val="22"/>
        </w:rPr>
      </w:pPr>
      <w:r>
        <w:rPr>
          <w:iCs/>
          <w:sz w:val="22"/>
          <w:szCs w:val="22"/>
        </w:rPr>
        <w:t>tauvas joslas teritorija gar upi.</w:t>
      </w:r>
      <w:r w:rsidR="00AA766C" w:rsidRPr="00AA766C">
        <w:rPr>
          <w:iCs/>
          <w:sz w:val="22"/>
          <w:szCs w:val="22"/>
        </w:rPr>
        <w:t xml:space="preserve"> </w:t>
      </w:r>
    </w:p>
    <w:p w14:paraId="2023FBD9" w14:textId="62125464" w:rsidR="002B275A" w:rsidRPr="00AA766C" w:rsidRDefault="002B275A" w:rsidP="00AA766C">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 xml:space="preserve">Par Zemi ir noslēgts medību tiesību nomas līgums ar </w:t>
      </w:r>
      <w:r w:rsidR="006700E8">
        <w:rPr>
          <w:rFonts w:ascii="Times New Roman" w:hAnsi="Times New Roman"/>
          <w:iCs/>
          <w:sz w:val="22"/>
          <w:szCs w:val="22"/>
          <w:lang w:val="lv-LV"/>
        </w:rPr>
        <w:t>M</w:t>
      </w:r>
      <w:r w:rsidR="009F44AC">
        <w:rPr>
          <w:rFonts w:ascii="Times New Roman" w:hAnsi="Times New Roman"/>
          <w:iCs/>
          <w:sz w:val="22"/>
          <w:szCs w:val="22"/>
          <w:lang w:val="lv-LV"/>
        </w:rPr>
        <w:t xml:space="preserve">ednieku </w:t>
      </w:r>
      <w:r w:rsidR="006700E8">
        <w:rPr>
          <w:rFonts w:ascii="Times New Roman" w:hAnsi="Times New Roman"/>
          <w:iCs/>
          <w:sz w:val="22"/>
          <w:szCs w:val="22"/>
          <w:lang w:val="lv-LV"/>
        </w:rPr>
        <w:t>klubu</w:t>
      </w:r>
      <w:r w:rsidR="005D1E10" w:rsidRPr="004776C5">
        <w:rPr>
          <w:rFonts w:ascii="Times New Roman" w:hAnsi="Times New Roman"/>
          <w:iCs/>
          <w:sz w:val="22"/>
          <w:szCs w:val="22"/>
          <w:lang w:val="lv-LV"/>
        </w:rPr>
        <w:t xml:space="preserve"> </w:t>
      </w:r>
      <w:r w:rsidR="009F44AC">
        <w:rPr>
          <w:rFonts w:ascii="Times New Roman" w:hAnsi="Times New Roman"/>
          <w:iCs/>
          <w:sz w:val="22"/>
          <w:szCs w:val="22"/>
          <w:lang w:val="lv-LV"/>
        </w:rPr>
        <w:t>“</w:t>
      </w:r>
      <w:r w:rsidR="006700E8">
        <w:rPr>
          <w:rFonts w:ascii="Times New Roman" w:hAnsi="Times New Roman"/>
          <w:iCs/>
          <w:sz w:val="22"/>
          <w:szCs w:val="22"/>
          <w:lang w:val="lv-LV"/>
        </w:rPr>
        <w:t>Zaļumi</w:t>
      </w:r>
      <w:r w:rsidR="005D1E10" w:rsidRPr="004776C5">
        <w:rPr>
          <w:rFonts w:ascii="Times New Roman" w:hAnsi="Times New Roman"/>
          <w:iCs/>
          <w:sz w:val="22"/>
          <w:szCs w:val="22"/>
          <w:lang w:val="lv-LV"/>
        </w:rPr>
        <w:t>”</w:t>
      </w:r>
      <w:r w:rsidR="006121EF" w:rsidRPr="004776C5">
        <w:rPr>
          <w:rFonts w:ascii="Times New Roman" w:hAnsi="Times New Roman"/>
          <w:iCs/>
          <w:sz w:val="22"/>
          <w:szCs w:val="22"/>
          <w:lang w:val="lv-LV"/>
        </w:rPr>
        <w:t xml:space="preserve"> (Reģ.nr.</w:t>
      </w:r>
      <w:r w:rsidR="009F44AC">
        <w:rPr>
          <w:rFonts w:ascii="Times New Roman" w:hAnsi="Times New Roman"/>
          <w:iCs/>
          <w:sz w:val="22"/>
          <w:szCs w:val="22"/>
          <w:lang w:val="lv-LV"/>
        </w:rPr>
        <w:t>4000</w:t>
      </w:r>
      <w:r w:rsidR="006700E8">
        <w:rPr>
          <w:rFonts w:ascii="Times New Roman" w:hAnsi="Times New Roman"/>
          <w:iCs/>
          <w:sz w:val="22"/>
          <w:szCs w:val="22"/>
          <w:lang w:val="lv-LV"/>
        </w:rPr>
        <w:t>8029983</w:t>
      </w:r>
      <w:r w:rsidR="006121EF" w:rsidRPr="004776C5">
        <w:rPr>
          <w:rFonts w:ascii="Times New Roman" w:hAnsi="Times New Roman"/>
          <w:iCs/>
          <w:sz w:val="22"/>
          <w:szCs w:val="22"/>
          <w:lang w:val="lv-LV"/>
        </w:rPr>
        <w:t xml:space="preserve">), </w:t>
      </w:r>
      <w:r w:rsidR="009857A8" w:rsidRPr="00AA766C">
        <w:rPr>
          <w:rFonts w:ascii="Times New Roman" w:hAnsi="Times New Roman"/>
          <w:iCs/>
          <w:sz w:val="22"/>
          <w:szCs w:val="22"/>
          <w:lang w:val="lv-LV"/>
        </w:rPr>
        <w:t>kontaktpersona _________, tel. _____________</w:t>
      </w:r>
      <w:r w:rsidR="006121EF" w:rsidRPr="00AA766C">
        <w:rPr>
          <w:rFonts w:ascii="Times New Roman" w:hAnsi="Times New Roman"/>
          <w:iCs/>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0E4D1EC3" w:rsidR="005E34CE" w:rsidRPr="004776C5"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7DEA684E"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2030.gada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6039055E"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5EE55F20"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nomas maksa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113FEBD9"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6700E8">
        <w:rPr>
          <w:rFonts w:ascii="Times New Roman" w:hAnsi="Times New Roman"/>
          <w:sz w:val="22"/>
          <w:szCs w:val="22"/>
          <w:lang w:val="lv-LV"/>
        </w:rPr>
        <w:t>340.93</w:t>
      </w:r>
      <w:r w:rsidR="006121EF" w:rsidRPr="004776C5">
        <w:rPr>
          <w:rFonts w:ascii="Times New Roman" w:hAnsi="Times New Roman"/>
          <w:sz w:val="22"/>
          <w:szCs w:val="22"/>
          <w:lang w:val="lv-LV"/>
        </w:rPr>
        <w:t xml:space="preserve"> EUR (</w:t>
      </w:r>
      <w:r w:rsidR="006700E8">
        <w:rPr>
          <w:rFonts w:ascii="Times New Roman" w:hAnsi="Times New Roman"/>
          <w:sz w:val="22"/>
          <w:szCs w:val="22"/>
          <w:lang w:val="lv-LV"/>
        </w:rPr>
        <w:t xml:space="preserve">trīs simti četrdesmit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9F44AC">
        <w:rPr>
          <w:rFonts w:ascii="Times New Roman" w:hAnsi="Times New Roman"/>
          <w:sz w:val="22"/>
          <w:szCs w:val="22"/>
          <w:lang w:val="lv-LV"/>
        </w:rPr>
        <w:t xml:space="preserve">deviņdesmit </w:t>
      </w:r>
      <w:r w:rsidR="006700E8">
        <w:rPr>
          <w:rFonts w:ascii="Times New Roman" w:hAnsi="Times New Roman"/>
          <w:sz w:val="22"/>
          <w:szCs w:val="22"/>
          <w:lang w:val="lv-LV"/>
        </w:rPr>
        <w:t>trīs</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3C8ECB6D" w:rsidR="002C33F7" w:rsidRPr="004776C5"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4776C5">
        <w:rPr>
          <w:rFonts w:ascii="Times New Roman" w:hAnsi="Times New Roman"/>
          <w:sz w:val="22"/>
          <w:szCs w:val="22"/>
          <w:lang w:val="lv-LV"/>
        </w:rPr>
        <w:t xml:space="preserve">pievienotās vērtības nodoklis 21 % - ______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3CA5E199"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9F44AC">
        <w:rPr>
          <w:rFonts w:ascii="Times New Roman" w:hAnsi="Times New Roman"/>
          <w:sz w:val="22"/>
          <w:szCs w:val="22"/>
          <w:lang w:val="lv-LV" w:eastAsia="lv-LV"/>
        </w:rPr>
        <w:t>3</w:t>
      </w:r>
      <w:r w:rsidR="006700E8">
        <w:rPr>
          <w:rFonts w:ascii="Times New Roman" w:hAnsi="Times New Roman"/>
          <w:sz w:val="22"/>
          <w:szCs w:val="22"/>
          <w:lang w:val="lv-LV" w:eastAsia="lv-LV"/>
        </w:rPr>
        <w:t>600</w:t>
      </w:r>
      <w:r w:rsidR="009F44AC">
        <w:rPr>
          <w:rFonts w:ascii="Times New Roman" w:hAnsi="Times New Roman"/>
          <w:sz w:val="22"/>
          <w:szCs w:val="22"/>
          <w:lang w:val="lv-LV" w:eastAsia="lv-LV"/>
        </w:rPr>
        <w:t>,00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6700E8">
        <w:rPr>
          <w:rFonts w:ascii="Times New Roman" w:hAnsi="Times New Roman"/>
          <w:i/>
          <w:sz w:val="22"/>
          <w:szCs w:val="22"/>
          <w:lang w:val="lv-LV"/>
        </w:rPr>
        <w:t>trīs tūkstoši seši simti</w:t>
      </w:r>
      <w:r w:rsidR="006121EF" w:rsidRPr="004776C5">
        <w:rPr>
          <w:rFonts w:ascii="Times New Roman" w:hAnsi="Times New Roman"/>
          <w:i/>
          <w:sz w:val="22"/>
          <w:szCs w:val="22"/>
          <w:lang w:val="lv-LV"/>
        </w:rPr>
        <w:t xml:space="preserve">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Nomnieks maksā Iznomātājam nomas maksu par katru ceturksni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Nomnieks maksā Iznomātājam nomas maksu 2 reizes gadā,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Nomnieks maksā Iznomātājam nomas maksu 1 reizi gadā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3B9C2DEC"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72D4837D"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xml:space="preserve"> un būvju, autoceļu</w:t>
      </w:r>
      <w:r w:rsidR="00225840">
        <w:rPr>
          <w:rFonts w:ascii="Times New Roman" w:hAnsi="Times New Roman"/>
          <w:sz w:val="22"/>
          <w:szCs w:val="22"/>
          <w:lang w:val="lv-LV"/>
        </w:rPr>
        <w:t>,</w:t>
      </w:r>
      <w:r w:rsidRPr="004776C5">
        <w:rPr>
          <w:rFonts w:ascii="Times New Roman" w:hAnsi="Times New Roman"/>
          <w:sz w:val="22"/>
          <w:szCs w:val="22"/>
          <w:lang w:val="lv-LV"/>
        </w:rPr>
        <w:t xml:space="preserve"> inženierbūvju aizsardzības un ekspluatācijas noteikumus;</w:t>
      </w:r>
    </w:p>
    <w:p w14:paraId="3D4D6BF7" w14:textId="51F6A32C" w:rsidR="00EB4533" w:rsidRPr="00EB4533" w:rsidRDefault="00EB4533" w:rsidP="00EB4533">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BE0FCA">
        <w:rPr>
          <w:rFonts w:ascii="Times New Roman" w:hAnsi="Times New Roman"/>
          <w:sz w:val="22"/>
          <w:szCs w:val="22"/>
          <w:lang w:val="lv-LV"/>
        </w:rPr>
        <w:t>ievērot aizsargjoslu likuma 37. pantu, tajā skaitā ierobežojumu 10m joslā gar upi būvēt un izvietot jebkādas ēkas un būves, tai skaitā nožogojumus, lietot mēslošanas līdzekļus un ķīmiskos augu aizsardzības līdzekļus, mazgāt mehāniskos transportlīdzekļus un lauksaimniecības tehniku</w:t>
      </w:r>
      <w:r>
        <w:rPr>
          <w:rFonts w:ascii="Times New Roman" w:hAnsi="Times New Roman"/>
          <w:sz w:val="22"/>
          <w:szCs w:val="22"/>
          <w:lang w:val="lv-LV"/>
        </w:rPr>
        <w:t>;</w:t>
      </w:r>
    </w:p>
    <w:p w14:paraId="303BF7BA" w14:textId="0B62F506"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3FD87FC3"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lastRenderedPageBreak/>
        <w:t>ievērot noteiktos Zemes aprobežojumus;</w:t>
      </w:r>
    </w:p>
    <w:p w14:paraId="778B77C0"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0967C020" w14:textId="3134D112" w:rsidR="004C7CEC" w:rsidRPr="00AA766C" w:rsidRDefault="004C7CEC" w:rsidP="00AA766C">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jebkuru iespējamo 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AA766C">
        <w:rPr>
          <w:rFonts w:ascii="Times New Roman" w:hAnsi="Times New Roman"/>
          <w:sz w:val="22"/>
          <w:szCs w:val="22"/>
          <w:lang w:val="lv-LV"/>
        </w:rPr>
        <w:t>.</w:t>
      </w:r>
    </w:p>
    <w:p w14:paraId="5A7A6435" w14:textId="77777777" w:rsidR="00701157"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4776C5" w:rsidRDefault="003208CC"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4776C5">
        <w:rPr>
          <w:rFonts w:ascii="Times New Roman" w:hAnsi="Times New Roman"/>
          <w:color w:val="000000" w:themeColor="text1"/>
          <w:sz w:val="22"/>
          <w:szCs w:val="22"/>
          <w:lang w:val="lv-LV"/>
        </w:rPr>
        <w:t>.</w:t>
      </w:r>
    </w:p>
    <w:p w14:paraId="543EF8DF" w14:textId="1691FB1F" w:rsidR="00701157" w:rsidRPr="004776C5" w:rsidRDefault="003208CC"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novērst pārkāpumus Iznomātāja norādītajā termiņā</w:t>
      </w:r>
      <w:r w:rsidR="00D5350F" w:rsidRPr="004776C5">
        <w:rPr>
          <w:rFonts w:ascii="Times New Roman" w:hAnsi="Times New Roman"/>
          <w:color w:val="000000" w:themeColor="text1"/>
          <w:sz w:val="22"/>
          <w:szCs w:val="22"/>
          <w:lang w:val="lv-LV"/>
        </w:rPr>
        <w:t>.</w:t>
      </w:r>
    </w:p>
    <w:p w14:paraId="0EDE5CC7" w14:textId="77777777" w:rsidR="0064447A" w:rsidRPr="004776C5" w:rsidRDefault="0064447A"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77777777" w:rsidR="0064447A" w:rsidRPr="004776C5" w:rsidRDefault="0064447A"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F11635">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lastRenderedPageBreak/>
        <w:t>Šis līgums ir saistošs abām Pusēm, kā arī abu Pušu tiesību pārņēmējiem, mantiniekiem. Tiesību pārņēmējiem 30 dienu laikā Līgums jānoslēdz no jauna.</w:t>
      </w:r>
    </w:p>
    <w:p w14:paraId="00A86405"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F11635">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F11635">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w:t>
      </w:r>
      <w:r w:rsidRPr="004776C5">
        <w:rPr>
          <w:rFonts w:ascii="Times New Roman" w:hAnsi="Times New Roman"/>
          <w:sz w:val="22"/>
          <w:szCs w:val="22"/>
          <w:lang w:val="lv-LV"/>
        </w:rPr>
        <w:lastRenderedPageBreak/>
        <w:t xml:space="preserve">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F11635">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642B187B" w:rsidR="002B275A" w:rsidRPr="004776C5" w:rsidRDefault="002B275A" w:rsidP="00F11635">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p>
    <w:p w14:paraId="76587DC2" w14:textId="3D283B7C" w:rsidR="00B728DC" w:rsidRPr="004776C5" w:rsidRDefault="00B728DC" w:rsidP="002B7282">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49A0CC9E"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p>
    <w:p w14:paraId="7ACC4BF3" w14:textId="4C8FF46D"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2BB722A6" w:rsidR="008662B0" w:rsidRPr="004776C5" w:rsidRDefault="008662B0"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p>
    <w:p w14:paraId="207BC3C8" w14:textId="77777777" w:rsidR="00B73591" w:rsidRPr="004776C5" w:rsidRDefault="00B73591" w:rsidP="00F11635">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196CF579" w:rsidR="004B069E" w:rsidRPr="00EB4533" w:rsidRDefault="00B73591" w:rsidP="00AC1681">
      <w:pPr>
        <w:pStyle w:val="HTMLiepriekformattais"/>
        <w:numPr>
          <w:ilvl w:val="2"/>
          <w:numId w:val="14"/>
        </w:numPr>
        <w:ind w:left="1276" w:hanging="709"/>
        <w:jc w:val="both"/>
        <w:rPr>
          <w:rFonts w:ascii="Times New Roman" w:hAnsi="Times New Roman"/>
          <w:bCs/>
          <w:color w:val="000000" w:themeColor="text1"/>
          <w:sz w:val="22"/>
          <w:szCs w:val="22"/>
          <w:lang w:val="lv-LV"/>
        </w:rPr>
      </w:pPr>
      <w:r w:rsidRPr="00EB4533">
        <w:rPr>
          <w:rFonts w:ascii="Times New Roman" w:hAnsi="Times New Roman"/>
          <w:color w:val="000000" w:themeColor="text1"/>
          <w:sz w:val="22"/>
          <w:szCs w:val="22"/>
          <w:lang w:val="lv-LV"/>
        </w:rPr>
        <w:t>Iznomātāja</w:t>
      </w:r>
      <w:r w:rsidRPr="00EB4533">
        <w:rPr>
          <w:rFonts w:ascii="Times New Roman" w:hAnsi="Times New Roman"/>
          <w:bCs/>
          <w:color w:val="000000" w:themeColor="text1"/>
          <w:sz w:val="22"/>
          <w:szCs w:val="22"/>
          <w:lang w:val="lv-LV"/>
        </w:rPr>
        <w:t xml:space="preserve"> pārstāvis: </w:t>
      </w:r>
      <w:r w:rsidR="002B7282" w:rsidRPr="00EB4533">
        <w:rPr>
          <w:rFonts w:ascii="Times New Roman" w:hAnsi="Times New Roman"/>
          <w:bCs/>
          <w:color w:val="000000" w:themeColor="text1"/>
          <w:sz w:val="22"/>
          <w:szCs w:val="22"/>
          <w:lang w:val="lv-LV"/>
        </w:rPr>
        <w:t>Zemes lietojuma speciāliste</w:t>
      </w:r>
      <w:r w:rsidR="00EB4533">
        <w:rPr>
          <w:rFonts w:ascii="Times New Roman" w:hAnsi="Times New Roman"/>
          <w:bCs/>
          <w:color w:val="000000" w:themeColor="text1"/>
          <w:sz w:val="22"/>
          <w:szCs w:val="22"/>
          <w:lang w:val="lv-LV"/>
        </w:rPr>
        <w:t xml:space="preserve"> </w:t>
      </w:r>
      <w:r w:rsidR="00EB4533" w:rsidRPr="00EB4533">
        <w:rPr>
          <w:rFonts w:ascii="Times New Roman" w:hAnsi="Times New Roman"/>
          <w:bCs/>
          <w:color w:val="000000" w:themeColor="text1"/>
          <w:sz w:val="22"/>
          <w:szCs w:val="22"/>
          <w:lang w:val="lv-LV"/>
        </w:rPr>
        <w:t xml:space="preserve">Evija Palāce,  mob. tālr. 29636066, e-pasts: </w:t>
      </w:r>
      <w:hyperlink r:id="rId11" w:history="1">
        <w:r w:rsidR="00EB4533" w:rsidRPr="00EB4533">
          <w:rPr>
            <w:rStyle w:val="Hipersaite"/>
            <w:rFonts w:ascii="Times New Roman" w:hAnsi="Times New Roman"/>
            <w:bCs/>
            <w:sz w:val="22"/>
            <w:szCs w:val="22"/>
            <w:lang w:val="lv-LV"/>
          </w:rPr>
          <w:t>e.palace@lvm.lv</w:t>
        </w:r>
      </w:hyperlink>
      <w:r w:rsidRPr="00EB4533">
        <w:rPr>
          <w:rFonts w:ascii="Times New Roman" w:hAnsi="Times New Roman"/>
          <w:color w:val="000000" w:themeColor="text1"/>
          <w:sz w:val="22"/>
          <w:szCs w:val="22"/>
          <w:lang w:val="lv-LV"/>
        </w:rPr>
        <w:t>, kur</w:t>
      </w:r>
      <w:r w:rsidR="00112073" w:rsidRPr="00EB4533">
        <w:rPr>
          <w:rFonts w:ascii="Times New Roman" w:hAnsi="Times New Roman"/>
          <w:color w:val="000000" w:themeColor="text1"/>
          <w:sz w:val="22"/>
          <w:szCs w:val="22"/>
          <w:lang w:val="lv-LV"/>
        </w:rPr>
        <w:t>a</w:t>
      </w:r>
      <w:r w:rsidRPr="00EB4533">
        <w:rPr>
          <w:rFonts w:ascii="Times New Roman" w:hAnsi="Times New Roman"/>
          <w:bCs/>
          <w:color w:val="000000" w:themeColor="text1"/>
          <w:sz w:val="22"/>
          <w:szCs w:val="22"/>
          <w:lang w:val="lv-LV"/>
        </w:rPr>
        <w:t xml:space="preserve"> ir atbildīga par Līguma administrēšanu  </w:t>
      </w:r>
      <w:r w:rsidRPr="00EB4533">
        <w:rPr>
          <w:rFonts w:ascii="Times New Roman" w:hAnsi="Times New Roman"/>
          <w:color w:val="000000" w:themeColor="text1"/>
          <w:sz w:val="22"/>
          <w:szCs w:val="22"/>
          <w:lang w:val="lv-LV"/>
        </w:rPr>
        <w:t>Iznomātāja</w:t>
      </w:r>
      <w:r w:rsidRPr="00EB4533">
        <w:rPr>
          <w:rFonts w:ascii="Times New Roman" w:hAnsi="Times New Roman"/>
          <w:bCs/>
          <w:color w:val="000000" w:themeColor="text1"/>
          <w:sz w:val="22"/>
          <w:szCs w:val="22"/>
          <w:lang w:val="lv-LV"/>
        </w:rPr>
        <w:t xml:space="preserve"> vārdā;</w:t>
      </w:r>
    </w:p>
    <w:p w14:paraId="2E79874A" w14:textId="77777777" w:rsidR="00B73591" w:rsidRPr="004776C5" w:rsidRDefault="00B73591" w:rsidP="00F11635">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F1163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4A3B4E30"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43B81E68"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24</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3A768940" w:rsidR="00BF6240" w:rsidRPr="00EB4533" w:rsidRDefault="00BF6240" w:rsidP="00EB453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EB4533">
        <w:rPr>
          <w:sz w:val="22"/>
          <w:szCs w:val="22"/>
        </w:rPr>
        <w:t>Zemi ar kopējo platību</w:t>
      </w:r>
      <w:r w:rsidR="002B7282" w:rsidRPr="00EB4533">
        <w:rPr>
          <w:sz w:val="22"/>
          <w:szCs w:val="22"/>
        </w:rPr>
        <w:t xml:space="preserve"> </w:t>
      </w:r>
      <w:r w:rsidR="00EB4533" w:rsidRPr="00EB4533">
        <w:rPr>
          <w:sz w:val="22"/>
          <w:szCs w:val="22"/>
        </w:rPr>
        <w:t>59.41</w:t>
      </w:r>
      <w:r w:rsidRPr="00EB4533">
        <w:rPr>
          <w:sz w:val="22"/>
          <w:szCs w:val="22"/>
        </w:rPr>
        <w:t xml:space="preserve"> ha, kas atrodas </w:t>
      </w:r>
      <w:r w:rsidR="00EB4533" w:rsidRPr="00EB4533">
        <w:rPr>
          <w:sz w:val="22"/>
          <w:szCs w:val="22"/>
        </w:rPr>
        <w:t>Talsu</w:t>
      </w:r>
      <w:r w:rsidR="002B7282" w:rsidRPr="00EB4533">
        <w:rPr>
          <w:sz w:val="22"/>
          <w:szCs w:val="22"/>
        </w:rPr>
        <w:t xml:space="preserve"> </w:t>
      </w:r>
      <w:r w:rsidRPr="00EB4533">
        <w:rPr>
          <w:sz w:val="22"/>
          <w:szCs w:val="22"/>
        </w:rPr>
        <w:t xml:space="preserve">novada </w:t>
      </w:r>
      <w:r w:rsidR="00EB4533" w:rsidRPr="00EB4533">
        <w:rPr>
          <w:sz w:val="22"/>
          <w:szCs w:val="22"/>
        </w:rPr>
        <w:t>Ģibuļu</w:t>
      </w:r>
      <w:r w:rsidR="002B7282" w:rsidRPr="00EB4533">
        <w:rPr>
          <w:sz w:val="22"/>
          <w:szCs w:val="22"/>
        </w:rPr>
        <w:t xml:space="preserve"> </w:t>
      </w:r>
      <w:r w:rsidRPr="00EB4533">
        <w:rPr>
          <w:sz w:val="22"/>
          <w:szCs w:val="22"/>
        </w:rPr>
        <w:t xml:space="preserve">pagastā, </w:t>
      </w:r>
      <w:proofErr w:type="spellStart"/>
      <w:r w:rsidR="00EB4533" w:rsidRPr="00EB4533">
        <w:rPr>
          <w:sz w:val="22"/>
          <w:szCs w:val="22"/>
        </w:rPr>
        <w:t>Ziemeļkurzemes</w:t>
      </w:r>
      <w:proofErr w:type="spellEnd"/>
      <w:r w:rsidRPr="00EB4533">
        <w:rPr>
          <w:sz w:val="22"/>
          <w:szCs w:val="22"/>
        </w:rPr>
        <w:t xml:space="preserve"> reģiona </w:t>
      </w:r>
      <w:r w:rsidR="00EB4533" w:rsidRPr="00EB4533">
        <w:rPr>
          <w:sz w:val="22"/>
          <w:szCs w:val="22"/>
        </w:rPr>
        <w:t>Raķupes</w:t>
      </w:r>
      <w:r w:rsidRPr="00EB4533">
        <w:rPr>
          <w:sz w:val="22"/>
          <w:szCs w:val="22"/>
        </w:rPr>
        <w:t xml:space="preserve"> iecirkņa </w:t>
      </w:r>
      <w:r w:rsidR="00EB4533" w:rsidRPr="00EB4533">
        <w:rPr>
          <w:sz w:val="22"/>
          <w:szCs w:val="22"/>
        </w:rPr>
        <w:t>711</w:t>
      </w:r>
      <w:r w:rsidR="002B7282" w:rsidRPr="00EB4533">
        <w:rPr>
          <w:sz w:val="22"/>
          <w:szCs w:val="22"/>
        </w:rPr>
        <w:t>.</w:t>
      </w:r>
      <w:r w:rsidRPr="00EB4533">
        <w:rPr>
          <w:sz w:val="22"/>
          <w:szCs w:val="22"/>
        </w:rPr>
        <w:t xml:space="preserve"> kv</w:t>
      </w:r>
      <w:r w:rsidR="00D5350F" w:rsidRPr="00EB4533">
        <w:rPr>
          <w:sz w:val="22"/>
          <w:szCs w:val="22"/>
        </w:rPr>
        <w:t>artālu apgabal</w:t>
      </w:r>
      <w:r w:rsidR="00EB4533" w:rsidRPr="00EB4533">
        <w:rPr>
          <w:sz w:val="22"/>
          <w:szCs w:val="22"/>
        </w:rPr>
        <w:t>a</w:t>
      </w:r>
      <w:r w:rsidR="00D5350F" w:rsidRPr="00EB4533">
        <w:rPr>
          <w:sz w:val="22"/>
          <w:szCs w:val="22"/>
        </w:rPr>
        <w:t xml:space="preserve"> </w:t>
      </w:r>
      <w:r w:rsidR="00EB4533" w:rsidRPr="00EB4533">
        <w:rPr>
          <w:sz w:val="22"/>
          <w:szCs w:val="22"/>
        </w:rPr>
        <w:t>90.kvartāla 51.nogabal</w:t>
      </w:r>
      <w:r w:rsidR="00EB4533" w:rsidRPr="00EB4533">
        <w:rPr>
          <w:sz w:val="22"/>
          <w:szCs w:val="22"/>
        </w:rPr>
        <w:t>ā -</w:t>
      </w:r>
      <w:r w:rsidRPr="00EB4533">
        <w:rPr>
          <w:sz w:val="22"/>
          <w:szCs w:val="22"/>
        </w:rPr>
        <w:t xml:space="preserve"> zemes vienībā ar kadastra apzīmējumu</w:t>
      </w:r>
      <w:r w:rsidR="002B7282" w:rsidRPr="00EB4533">
        <w:rPr>
          <w:sz w:val="22"/>
          <w:szCs w:val="22"/>
        </w:rPr>
        <w:t xml:space="preserve"> </w:t>
      </w:r>
      <w:r w:rsidR="00EB4533" w:rsidRPr="00EB4533">
        <w:rPr>
          <w:sz w:val="22"/>
          <w:szCs w:val="22"/>
        </w:rPr>
        <w:t>88540070061</w:t>
      </w:r>
      <w:r w:rsidR="00EB4533" w:rsidRPr="00EB4533">
        <w:rPr>
          <w:sz w:val="22"/>
          <w:szCs w:val="22"/>
        </w:rPr>
        <w:t>, kas</w:t>
      </w:r>
      <w:r w:rsidRPr="00EB4533">
        <w:rPr>
          <w:sz w:val="22"/>
          <w:szCs w:val="22"/>
        </w:rPr>
        <w:t xml:space="preserve"> ietilpst nekustamā īpašuma </w:t>
      </w:r>
      <w:r w:rsidR="002B7282" w:rsidRPr="00EB4533">
        <w:rPr>
          <w:sz w:val="22"/>
          <w:szCs w:val="22"/>
        </w:rPr>
        <w:t>“</w:t>
      </w:r>
      <w:proofErr w:type="spellStart"/>
      <w:r w:rsidR="00EB4533" w:rsidRPr="00EB4533">
        <w:rPr>
          <w:sz w:val="22"/>
          <w:szCs w:val="22"/>
        </w:rPr>
        <w:t>Iliņu</w:t>
      </w:r>
      <w:proofErr w:type="spellEnd"/>
      <w:r w:rsidR="00EB4533" w:rsidRPr="00EB4533">
        <w:rPr>
          <w:sz w:val="22"/>
          <w:szCs w:val="22"/>
        </w:rPr>
        <w:t xml:space="preserve"> Mežs</w:t>
      </w:r>
      <w:r w:rsidR="002B7282" w:rsidRPr="00EB4533">
        <w:rPr>
          <w:sz w:val="22"/>
          <w:szCs w:val="22"/>
        </w:rPr>
        <w:t>”</w:t>
      </w:r>
      <w:r w:rsidRPr="00EB4533">
        <w:rPr>
          <w:sz w:val="22"/>
          <w:szCs w:val="22"/>
        </w:rPr>
        <w:t>, kadastra Nr.</w:t>
      </w:r>
      <w:r w:rsidR="002B7282" w:rsidRPr="00EB4533">
        <w:rPr>
          <w:sz w:val="22"/>
          <w:szCs w:val="22"/>
        </w:rPr>
        <w:t xml:space="preserve"> </w:t>
      </w:r>
      <w:r w:rsidR="00EB4533" w:rsidRPr="00EB4533">
        <w:rPr>
          <w:sz w:val="22"/>
          <w:szCs w:val="22"/>
        </w:rPr>
        <w:t>88540070061</w:t>
      </w:r>
      <w:r w:rsidRPr="00EB4533">
        <w:rPr>
          <w:sz w:val="22"/>
          <w:szCs w:val="22"/>
        </w:rPr>
        <w:t xml:space="preserve"> sastāvā </w:t>
      </w:r>
      <w:r w:rsidR="00EB4533" w:rsidRPr="00EB4533">
        <w:rPr>
          <w:sz w:val="22"/>
          <w:szCs w:val="22"/>
        </w:rPr>
        <w:t xml:space="preserve">un </w:t>
      </w:r>
      <w:r w:rsidR="00EB4533" w:rsidRPr="00EB4533">
        <w:rPr>
          <w:sz w:val="22"/>
          <w:szCs w:val="22"/>
        </w:rPr>
        <w:t>711. kvartālu apgabal</w:t>
      </w:r>
      <w:r w:rsidR="00EB4533" w:rsidRPr="00EB4533">
        <w:rPr>
          <w:sz w:val="22"/>
          <w:szCs w:val="22"/>
        </w:rPr>
        <w:t>a</w:t>
      </w:r>
      <w:r w:rsidR="00EB4533" w:rsidRPr="00EB4533">
        <w:rPr>
          <w:sz w:val="22"/>
          <w:szCs w:val="22"/>
        </w:rPr>
        <w:t xml:space="preserve">  </w:t>
      </w:r>
      <w:r w:rsidR="00EB4533" w:rsidRPr="00EB4533">
        <w:rPr>
          <w:sz w:val="22"/>
          <w:szCs w:val="22"/>
        </w:rPr>
        <w:t>5</w:t>
      </w:r>
      <w:r w:rsidR="00EB4533" w:rsidRPr="00EB4533">
        <w:rPr>
          <w:sz w:val="22"/>
          <w:szCs w:val="22"/>
        </w:rPr>
        <w:t>0.kvartāla 51.nogabalā</w:t>
      </w:r>
      <w:r w:rsidR="00EB4533" w:rsidRPr="00EB4533">
        <w:rPr>
          <w:sz w:val="22"/>
          <w:szCs w:val="22"/>
        </w:rPr>
        <w:t xml:space="preserve"> - </w:t>
      </w:r>
      <w:r w:rsidR="00EB4533" w:rsidRPr="00EB4533">
        <w:rPr>
          <w:sz w:val="22"/>
          <w:szCs w:val="22"/>
        </w:rPr>
        <w:t>zemes vienībā ar kadastra apzīmējumu 88540020027, kas ietilpst nekustamā īpašuma “</w:t>
      </w:r>
      <w:r w:rsidR="00EB4533">
        <w:rPr>
          <w:sz w:val="22"/>
          <w:szCs w:val="22"/>
        </w:rPr>
        <w:t>Kalniņu</w:t>
      </w:r>
      <w:r w:rsidR="00EB4533" w:rsidRPr="00EB4533">
        <w:rPr>
          <w:sz w:val="22"/>
          <w:szCs w:val="22"/>
        </w:rPr>
        <w:t xml:space="preserve"> Mežs”, kadastra Nr. 88540020027 sastāvā</w:t>
      </w:r>
      <w:r w:rsidR="00EB4533" w:rsidRPr="00EB4533">
        <w:rPr>
          <w:sz w:val="22"/>
          <w:szCs w:val="22"/>
        </w:rPr>
        <w:t xml:space="preserve"> </w:t>
      </w:r>
      <w:r w:rsidRPr="00EB4533">
        <w:rPr>
          <w:sz w:val="22"/>
          <w:szCs w:val="22"/>
        </w:rPr>
        <w:t>(turpmāk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e-pasts: lvm@lvm.lv</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7777777" w:rsidR="00DC65B5" w:rsidRPr="004776C5" w:rsidRDefault="00DC65B5" w:rsidP="007B73C2">
            <w:pPr>
              <w:spacing w:after="240"/>
              <w:jc w:val="both"/>
              <w:rPr>
                <w:color w:val="000000"/>
                <w:sz w:val="16"/>
                <w:szCs w:val="16"/>
              </w:rPr>
            </w:pPr>
            <w:r w:rsidRPr="004776C5">
              <w:rPr>
                <w:rFonts w:ascii="Tahoma" w:eastAsia="Calibri" w:hAnsi="Tahoma" w:cs="Tahoma"/>
                <w:noProof/>
                <w:color w:val="000000"/>
                <w:sz w:val="16"/>
                <w:szCs w:val="16"/>
                <w:lang w:eastAsia="lv-LV"/>
              </w:rPr>
              <w:lastRenderedPageBreak/>
              <w:drawing>
                <wp:inline distT="0" distB="0" distL="0" distR="0" wp14:anchorId="58D2AB48" wp14:editId="2501D967">
                  <wp:extent cx="1612897" cy="745490"/>
                  <wp:effectExtent l="0" t="0" r="698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523"/>
                          <a:stretch>
                            <a:fillRect/>
                          </a:stretch>
                        </pic:blipFill>
                        <pic:spPr bwMode="auto">
                          <a:xfrm>
                            <a:off x="0" y="0"/>
                            <a:ext cx="1639547" cy="757808"/>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4"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42D8C4C8"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24</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5"/>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0"/>
  </w:num>
  <w:num w:numId="3" w16cid:durableId="1401059453">
    <w:abstractNumId w:val="11"/>
  </w:num>
  <w:num w:numId="4" w16cid:durableId="1221743276">
    <w:abstractNumId w:val="0"/>
  </w:num>
  <w:num w:numId="5" w16cid:durableId="630282845">
    <w:abstractNumId w:val="23"/>
  </w:num>
  <w:num w:numId="6" w16cid:durableId="2091534650">
    <w:abstractNumId w:val="8"/>
  </w:num>
  <w:num w:numId="7" w16cid:durableId="478503461">
    <w:abstractNumId w:val="4"/>
  </w:num>
  <w:num w:numId="8" w16cid:durableId="1133131085">
    <w:abstractNumId w:val="5"/>
  </w:num>
  <w:num w:numId="9" w16cid:durableId="1819684811">
    <w:abstractNumId w:val="24"/>
  </w:num>
  <w:num w:numId="10" w16cid:durableId="1283418287">
    <w:abstractNumId w:val="25"/>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2"/>
  </w:num>
  <w:num w:numId="12" w16cid:durableId="974330917">
    <w:abstractNumId w:val="22"/>
    <w:lvlOverride w:ilvl="0">
      <w:startOverride w:val="7"/>
    </w:lvlOverride>
    <w:lvlOverride w:ilvl="1">
      <w:startOverride w:val="1"/>
    </w:lvlOverride>
  </w:num>
  <w:num w:numId="13" w16cid:durableId="1508791910">
    <w:abstractNumId w:val="7"/>
  </w:num>
  <w:num w:numId="14" w16cid:durableId="817456270">
    <w:abstractNumId w:val="16"/>
  </w:num>
  <w:num w:numId="15" w16cid:durableId="1586453542">
    <w:abstractNumId w:val="14"/>
  </w:num>
  <w:num w:numId="16" w16cid:durableId="1495805274">
    <w:abstractNumId w:val="21"/>
  </w:num>
  <w:num w:numId="17" w16cid:durableId="1003704298">
    <w:abstractNumId w:val="9"/>
  </w:num>
  <w:num w:numId="18" w16cid:durableId="1421214322">
    <w:abstractNumId w:val="3"/>
  </w:num>
  <w:num w:numId="19" w16cid:durableId="1029602825">
    <w:abstractNumId w:val="18"/>
  </w:num>
  <w:num w:numId="20" w16cid:durableId="86005657">
    <w:abstractNumId w:val="13"/>
  </w:num>
  <w:num w:numId="21" w16cid:durableId="2095319381">
    <w:abstractNumId w:val="17"/>
  </w:num>
  <w:num w:numId="22" w16cid:durableId="1569531953">
    <w:abstractNumId w:val="12"/>
  </w:num>
  <w:num w:numId="23" w16cid:durableId="1612738510">
    <w:abstractNumId w:val="6"/>
  </w:num>
  <w:num w:numId="24" w16cid:durableId="2004384384">
    <w:abstractNumId w:val="15"/>
  </w:num>
  <w:num w:numId="25" w16cid:durableId="1041399570">
    <w:abstractNumId w:val="3"/>
  </w:num>
  <w:num w:numId="26" w16cid:durableId="1818185281">
    <w:abstractNumId w:val="10"/>
  </w:num>
  <w:num w:numId="27" w16cid:durableId="1607276934">
    <w:abstractNumId w:val="19"/>
  </w:num>
  <w:num w:numId="28" w16cid:durableId="11256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B588A"/>
    <w:rsid w:val="000C25F2"/>
    <w:rsid w:val="000C55C1"/>
    <w:rsid w:val="000D1EB4"/>
    <w:rsid w:val="000F1D36"/>
    <w:rsid w:val="000F2353"/>
    <w:rsid w:val="000F356F"/>
    <w:rsid w:val="00101305"/>
    <w:rsid w:val="00112073"/>
    <w:rsid w:val="00112436"/>
    <w:rsid w:val="00113736"/>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E1EBC"/>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3269"/>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00E8"/>
    <w:rsid w:val="00672436"/>
    <w:rsid w:val="00687E1B"/>
    <w:rsid w:val="006964C0"/>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86B2D"/>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1CF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4533"/>
    <w:rsid w:val="00EB6BCF"/>
    <w:rsid w:val="00EC0421"/>
    <w:rsid w:val="00ED6662"/>
    <w:rsid w:val="00ED7CE8"/>
    <w:rsid w:val="00EE0050"/>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lace@lvm.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4701</Words>
  <Characters>31949</Characters>
  <Application>Microsoft Office Word</Application>
  <DocSecurity>0</DocSecurity>
  <Lines>266</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36577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14</cp:revision>
  <cp:lastPrinted>2013-07-19T11:45:00Z</cp:lastPrinted>
  <dcterms:created xsi:type="dcterms:W3CDTF">2022-10-27T16:44:00Z</dcterms:created>
  <dcterms:modified xsi:type="dcterms:W3CDTF">2024-10-01T12:52:00Z</dcterms:modified>
</cp:coreProperties>
</file>