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5FBCCBBD" w:rsidR="00CD62FC" w:rsidRPr="004B1878" w:rsidRDefault="00CD62FC" w:rsidP="00CD62FC">
      <w:pPr>
        <w:pStyle w:val="Apakvirsraksts"/>
        <w:jc w:val="center"/>
        <w:outlineLvl w:val="0"/>
        <w:rPr>
          <w:sz w:val="36"/>
          <w:szCs w:val="36"/>
          <w:lang w:val="lv-LV"/>
        </w:rPr>
      </w:pPr>
      <w:r w:rsidRPr="004B1878">
        <w:rPr>
          <w:sz w:val="36"/>
          <w:szCs w:val="36"/>
          <w:lang w:val="lv-LV"/>
        </w:rPr>
        <w:t>ELEKTRONISK</w:t>
      </w:r>
      <w:r w:rsidR="00F65CAB">
        <w:rPr>
          <w:sz w:val="36"/>
          <w:szCs w:val="36"/>
          <w:lang w:val="lv-LV"/>
        </w:rPr>
        <w:t>ĀS</w:t>
      </w:r>
      <w:r w:rsidRPr="004B1878">
        <w:rPr>
          <w:sz w:val="36"/>
          <w:szCs w:val="36"/>
          <w:lang w:val="lv-LV"/>
        </w:rPr>
        <w:t xml:space="preserve">   IZSO</w:t>
      </w:r>
      <w:r w:rsidR="00F65CAB">
        <w:rPr>
          <w:sz w:val="36"/>
          <w:szCs w:val="36"/>
          <w:lang w:val="lv-LV"/>
        </w:rPr>
        <w:t>LES</w:t>
      </w:r>
    </w:p>
    <w:p w14:paraId="473DC9CF" w14:textId="4D1F07DE" w:rsidR="00CD62FC" w:rsidRPr="004B1878" w:rsidRDefault="00CD62FC" w:rsidP="00F65CAB">
      <w:pPr>
        <w:pStyle w:val="Apakvirsraksts"/>
        <w:rPr>
          <w:sz w:val="36"/>
          <w:lang w:val="lv-LV"/>
        </w:rPr>
      </w:pPr>
    </w:p>
    <w:p w14:paraId="1184C160" w14:textId="77777777" w:rsidR="00111837" w:rsidRPr="0085360C" w:rsidRDefault="00111837"/>
    <w:p w14:paraId="68E10100" w14:textId="77777777" w:rsidR="00F65CAB" w:rsidRPr="0057691B" w:rsidRDefault="00F65CAB" w:rsidP="00F65CAB">
      <w:pPr>
        <w:pStyle w:val="Apakvirsraksts"/>
        <w:jc w:val="center"/>
        <w:rPr>
          <w:sz w:val="36"/>
          <w:lang w:val="lv-LV"/>
        </w:rPr>
      </w:pPr>
    </w:p>
    <w:p w14:paraId="1AF05A0F" w14:textId="77777777" w:rsidR="00F65CAB" w:rsidRPr="0057691B" w:rsidRDefault="00F65CAB" w:rsidP="00F65CAB">
      <w:pPr>
        <w:pStyle w:val="Apakvirsraksts"/>
        <w:jc w:val="center"/>
        <w:rPr>
          <w:sz w:val="32"/>
          <w:szCs w:val="32"/>
          <w:lang w:val="lv-LV"/>
        </w:rPr>
      </w:pPr>
    </w:p>
    <w:p w14:paraId="11BBAAFF" w14:textId="00BF38EA" w:rsidR="00F65CAB" w:rsidRPr="0057691B" w:rsidRDefault="00F65CAB" w:rsidP="00F65CAB">
      <w:pPr>
        <w:jc w:val="center"/>
        <w:rPr>
          <w:sz w:val="32"/>
          <w:szCs w:val="32"/>
        </w:rPr>
      </w:pPr>
      <w:r w:rsidRPr="0057691B">
        <w:rPr>
          <w:b/>
          <w:bCs/>
          <w:sz w:val="32"/>
          <w:szCs w:val="32"/>
        </w:rPr>
        <w:t xml:space="preserve">“Par nomas tiesību piešķiršanu zemei </w:t>
      </w:r>
      <w:r>
        <w:rPr>
          <w:b/>
          <w:bCs/>
          <w:sz w:val="32"/>
          <w:szCs w:val="32"/>
        </w:rPr>
        <w:t>0</w:t>
      </w:r>
      <w:r w:rsidRPr="0057691B">
        <w:rPr>
          <w:b/>
          <w:bCs/>
          <w:sz w:val="32"/>
          <w:szCs w:val="32"/>
        </w:rPr>
        <w:t xml:space="preserve">,80 ha platībā, zemes vienības ar kadastra apzīmējumu </w:t>
      </w:r>
      <w:r w:rsidRPr="00F65CAB">
        <w:rPr>
          <w:b/>
          <w:bCs/>
          <w:sz w:val="32"/>
          <w:szCs w:val="32"/>
        </w:rPr>
        <w:t>88370090078</w:t>
      </w:r>
      <w:r w:rsidRPr="0057691B">
        <w:rPr>
          <w:b/>
          <w:bCs/>
          <w:sz w:val="32"/>
          <w:szCs w:val="32"/>
        </w:rPr>
        <w:t xml:space="preserve"> daļā, nekustamā īpašumā “</w:t>
      </w:r>
      <w:r>
        <w:rPr>
          <w:b/>
          <w:bCs/>
          <w:sz w:val="32"/>
          <w:szCs w:val="32"/>
        </w:rPr>
        <w:t>Valsts mežs Valdemārpils</w:t>
      </w:r>
      <w:r w:rsidRPr="0057691B">
        <w:rPr>
          <w:b/>
          <w:bCs/>
          <w:sz w:val="32"/>
          <w:szCs w:val="32"/>
        </w:rPr>
        <w:t xml:space="preserve">”, kad. Nr. </w:t>
      </w:r>
      <w:r w:rsidRPr="00F65CAB">
        <w:rPr>
          <w:b/>
          <w:bCs/>
          <w:sz w:val="32"/>
          <w:szCs w:val="32"/>
        </w:rPr>
        <w:t>88370010057</w:t>
      </w:r>
      <w:r w:rsidRPr="0057691B">
        <w:rPr>
          <w:b/>
          <w:bCs/>
          <w:sz w:val="32"/>
          <w:szCs w:val="32"/>
        </w:rPr>
        <w:t xml:space="preserve">, </w:t>
      </w:r>
      <w:r>
        <w:rPr>
          <w:b/>
          <w:bCs/>
          <w:sz w:val="32"/>
          <w:szCs w:val="32"/>
        </w:rPr>
        <w:t>Talsu</w:t>
      </w:r>
      <w:r w:rsidRPr="0057691B">
        <w:rPr>
          <w:b/>
          <w:bCs/>
          <w:sz w:val="32"/>
          <w:szCs w:val="32"/>
        </w:rPr>
        <w:t xml:space="preserve"> novada </w:t>
      </w:r>
      <w:proofErr w:type="spellStart"/>
      <w:r>
        <w:rPr>
          <w:b/>
          <w:bCs/>
          <w:sz w:val="32"/>
          <w:szCs w:val="32"/>
        </w:rPr>
        <w:t>Ārlavas</w:t>
      </w:r>
      <w:proofErr w:type="spellEnd"/>
      <w:r w:rsidRPr="0057691B">
        <w:rPr>
          <w:b/>
          <w:bCs/>
          <w:sz w:val="32"/>
          <w:szCs w:val="32"/>
        </w:rPr>
        <w:t xml:space="preserve"> pagastā” </w:t>
      </w:r>
    </w:p>
    <w:p w14:paraId="679BBF4B" w14:textId="77777777" w:rsidR="00F65CAB" w:rsidRPr="0057691B" w:rsidRDefault="00F65CAB" w:rsidP="00F65CAB">
      <w:pPr>
        <w:pStyle w:val="Apakvirsraksts"/>
        <w:jc w:val="center"/>
        <w:rPr>
          <w:sz w:val="32"/>
          <w:szCs w:val="32"/>
          <w:lang w:val="lv-LV"/>
        </w:rPr>
      </w:pPr>
    </w:p>
    <w:p w14:paraId="5D068519" w14:textId="77777777" w:rsidR="00F65CAB" w:rsidRPr="0057691B" w:rsidRDefault="00F65CAB" w:rsidP="00F65CAB">
      <w:pPr>
        <w:pStyle w:val="Apakvirsraksts"/>
        <w:jc w:val="center"/>
        <w:rPr>
          <w:sz w:val="32"/>
          <w:szCs w:val="32"/>
          <w:lang w:val="lv-LV"/>
        </w:rPr>
      </w:pPr>
    </w:p>
    <w:p w14:paraId="5E2CFCA7" w14:textId="77777777" w:rsidR="00F65CAB" w:rsidRPr="0057691B" w:rsidRDefault="00F65CAB" w:rsidP="00F65CAB">
      <w:pPr>
        <w:pStyle w:val="Apakvirsraksts"/>
        <w:jc w:val="center"/>
        <w:rPr>
          <w:sz w:val="32"/>
          <w:szCs w:val="32"/>
          <w:lang w:val="lv-LV"/>
        </w:rPr>
      </w:pPr>
    </w:p>
    <w:p w14:paraId="7EE57412" w14:textId="77777777" w:rsidR="00F65CAB" w:rsidRPr="0057691B" w:rsidRDefault="00F65CAB" w:rsidP="00F65CAB">
      <w:pPr>
        <w:pStyle w:val="Apakvirsraksts"/>
        <w:jc w:val="center"/>
        <w:rPr>
          <w:sz w:val="36"/>
          <w:lang w:val="lv-LV"/>
        </w:rPr>
      </w:pPr>
      <w:r w:rsidRPr="0057691B">
        <w:rPr>
          <w:sz w:val="36"/>
          <w:lang w:val="lv-LV"/>
        </w:rPr>
        <w:t>N O L I K U M S</w:t>
      </w:r>
    </w:p>
    <w:p w14:paraId="05BEE7EA" w14:textId="77777777" w:rsidR="00F65CAB" w:rsidRPr="0057691B" w:rsidRDefault="00F65CAB" w:rsidP="00F65CAB">
      <w:pPr>
        <w:tabs>
          <w:tab w:val="left" w:pos="3585"/>
        </w:tabs>
      </w:pPr>
      <w:r w:rsidRPr="0057691B">
        <w:t xml:space="preserve">                                                                 </w:t>
      </w:r>
    </w:p>
    <w:p w14:paraId="07D3AE37" w14:textId="77777777" w:rsidR="00F65CAB" w:rsidRPr="0057691B" w:rsidRDefault="00F65CAB" w:rsidP="00F65CAB">
      <w:pPr>
        <w:tabs>
          <w:tab w:val="left" w:pos="3585"/>
        </w:tabs>
        <w:jc w:val="right"/>
      </w:pPr>
      <w:r w:rsidRPr="0057691B">
        <w:t xml:space="preserve">               </w:t>
      </w:r>
    </w:p>
    <w:p w14:paraId="5ECF1BEA" w14:textId="77777777" w:rsidR="00F65CAB" w:rsidRPr="0057691B" w:rsidRDefault="00F65CAB" w:rsidP="00F65CAB">
      <w:pPr>
        <w:tabs>
          <w:tab w:val="left" w:pos="3585"/>
        </w:tabs>
        <w:jc w:val="right"/>
      </w:pPr>
    </w:p>
    <w:p w14:paraId="4A6ED917" w14:textId="77777777" w:rsidR="00F65CAB" w:rsidRPr="0057691B" w:rsidRDefault="00F65CAB" w:rsidP="00F65CAB">
      <w:pPr>
        <w:tabs>
          <w:tab w:val="left" w:pos="3585"/>
        </w:tabs>
        <w:jc w:val="right"/>
      </w:pPr>
    </w:p>
    <w:p w14:paraId="198B3594" w14:textId="77777777" w:rsidR="00F65CAB" w:rsidRPr="0057691B" w:rsidRDefault="00F65CAB" w:rsidP="00F65CAB">
      <w:pPr>
        <w:tabs>
          <w:tab w:val="left" w:pos="3585"/>
        </w:tabs>
        <w:jc w:val="right"/>
        <w:outlineLvl w:val="0"/>
        <w:rPr>
          <w:sz w:val="20"/>
        </w:rPr>
      </w:pPr>
      <w:r w:rsidRPr="0057691B">
        <w:t xml:space="preserve">  </w:t>
      </w:r>
      <w:r w:rsidRPr="0057691B">
        <w:rPr>
          <w:sz w:val="20"/>
        </w:rPr>
        <w:t xml:space="preserve">APSTIPRINĀTS </w:t>
      </w:r>
    </w:p>
    <w:p w14:paraId="0C9329AA" w14:textId="77777777" w:rsidR="00F65CAB" w:rsidRPr="0057691B" w:rsidRDefault="00F65CAB" w:rsidP="00F65CAB">
      <w:pPr>
        <w:tabs>
          <w:tab w:val="left" w:pos="3585"/>
        </w:tabs>
        <w:jc w:val="right"/>
        <w:outlineLvl w:val="0"/>
        <w:rPr>
          <w:sz w:val="20"/>
        </w:rPr>
      </w:pPr>
      <w:r w:rsidRPr="0057691B">
        <w:rPr>
          <w:sz w:val="20"/>
        </w:rPr>
        <w:t xml:space="preserve">                                                                                  Izsoles komisijas sēdē</w:t>
      </w:r>
    </w:p>
    <w:p w14:paraId="04B20965" w14:textId="500A9AB2" w:rsidR="00F65CAB" w:rsidRPr="0057691B" w:rsidRDefault="00F65CAB" w:rsidP="00F65CAB">
      <w:pPr>
        <w:tabs>
          <w:tab w:val="left" w:pos="3585"/>
        </w:tabs>
        <w:jc w:val="right"/>
        <w:rPr>
          <w:sz w:val="20"/>
        </w:rPr>
      </w:pPr>
      <w:r w:rsidRPr="0057691B">
        <w:rPr>
          <w:sz w:val="20"/>
        </w:rPr>
        <w:t xml:space="preserve">2025.gada </w:t>
      </w:r>
      <w:r>
        <w:rPr>
          <w:sz w:val="20"/>
        </w:rPr>
        <w:t>1</w:t>
      </w:r>
      <w:r w:rsidR="00827448">
        <w:rPr>
          <w:sz w:val="20"/>
        </w:rPr>
        <w:t>9</w:t>
      </w:r>
      <w:r w:rsidRPr="0057691B">
        <w:rPr>
          <w:sz w:val="20"/>
        </w:rPr>
        <w:t>.</w:t>
      </w:r>
      <w:r>
        <w:rPr>
          <w:sz w:val="20"/>
        </w:rPr>
        <w:t>martā</w:t>
      </w:r>
    </w:p>
    <w:p w14:paraId="3D1F28BB" w14:textId="77777777" w:rsidR="00F65CAB" w:rsidRPr="0057691B" w:rsidRDefault="00F65CAB" w:rsidP="00F65CAB">
      <w:pPr>
        <w:tabs>
          <w:tab w:val="left" w:pos="3585"/>
        </w:tabs>
        <w:jc w:val="right"/>
        <w:rPr>
          <w:sz w:val="20"/>
        </w:rPr>
      </w:pPr>
      <w:smartTag w:uri="schemas-tilde-lv/tildestengine" w:element="veidnes">
        <w:smartTagPr>
          <w:attr w:name="text" w:val="Protokols"/>
          <w:attr w:name="id" w:val="-1"/>
          <w:attr w:name="baseform" w:val="protokol|s"/>
        </w:smartTagPr>
        <w:r w:rsidRPr="0057691B">
          <w:rPr>
            <w:sz w:val="20"/>
          </w:rPr>
          <w:t>Protokols</w:t>
        </w:r>
      </w:smartTag>
      <w:r w:rsidRPr="0057691B">
        <w:rPr>
          <w:sz w:val="20"/>
        </w:rPr>
        <w:t xml:space="preserve"> Nr.1</w:t>
      </w:r>
    </w:p>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4AED7CD8" w14:textId="780F9CFF" w:rsidR="00CD62FC" w:rsidRDefault="00111837" w:rsidP="00F65CAB">
      <w:pPr>
        <w:tabs>
          <w:tab w:val="left" w:pos="3585"/>
        </w:tabs>
        <w:jc w:val="right"/>
      </w:pPr>
      <w:r w:rsidRPr="0085360C">
        <w:t xml:space="preserve">                                                                            </w:t>
      </w:r>
    </w:p>
    <w:p w14:paraId="5DAA5E70" w14:textId="77777777" w:rsidR="00CD62FC" w:rsidRPr="0085360C" w:rsidRDefault="00CD62FC">
      <w:pPr>
        <w:tabs>
          <w:tab w:val="left" w:pos="3585"/>
        </w:tabs>
        <w:jc w:val="right"/>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5416DB53"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050427">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626C4C98"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50427">
        <w:rPr>
          <w:b w:val="0"/>
          <w:sz w:val="22"/>
          <w:szCs w:val="22"/>
          <w:lang w:val="lv-LV"/>
        </w:rPr>
        <w:t>i</w:t>
      </w:r>
      <w:r w:rsidR="00CD62FC">
        <w:rPr>
          <w:b w:val="0"/>
          <w:sz w:val="22"/>
          <w:szCs w:val="22"/>
          <w:lang w:val="lv-LV"/>
        </w:rPr>
        <w:t xml:space="preserve">: </w:t>
      </w:r>
      <w:r w:rsidR="00050427">
        <w:rPr>
          <w:b w:val="0"/>
          <w:sz w:val="22"/>
          <w:szCs w:val="22"/>
          <w:lang w:val="lv-LV"/>
        </w:rPr>
        <w:t xml:space="preserve">Baibu </w:t>
      </w:r>
      <w:proofErr w:type="spellStart"/>
      <w:r w:rsidR="00050427">
        <w:rPr>
          <w:b w:val="0"/>
          <w:sz w:val="22"/>
          <w:szCs w:val="22"/>
          <w:lang w:val="lv-LV"/>
        </w:rPr>
        <w:t>Pirvicu</w:t>
      </w:r>
      <w:proofErr w:type="spellEnd"/>
      <w:r w:rsidR="00543B0C">
        <w:rPr>
          <w:b w:val="0"/>
          <w:sz w:val="22"/>
          <w:szCs w:val="22"/>
          <w:lang w:val="lv-LV"/>
        </w:rPr>
        <w:t>, tālruņa Nr. 2</w:t>
      </w:r>
      <w:r w:rsidR="00D43E73">
        <w:rPr>
          <w:b w:val="0"/>
          <w:sz w:val="22"/>
          <w:szCs w:val="22"/>
          <w:lang w:val="lv-LV"/>
        </w:rPr>
        <w:t>9489366</w:t>
      </w:r>
      <w:r w:rsidR="00543B0C">
        <w:rPr>
          <w:b w:val="0"/>
          <w:sz w:val="22"/>
          <w:szCs w:val="22"/>
          <w:lang w:val="lv-LV"/>
        </w:rPr>
        <w:t xml:space="preserve">, </w:t>
      </w:r>
      <w:hyperlink r:id="rId8" w:history="1">
        <w:r w:rsidR="000919A4" w:rsidRPr="00574730">
          <w:rPr>
            <w:rStyle w:val="Hipersaite"/>
            <w:b w:val="0"/>
            <w:sz w:val="22"/>
            <w:szCs w:val="22"/>
            <w:lang w:val="lv-LV"/>
          </w:rPr>
          <w:t>b.pirvica@lvm.lv</w:t>
        </w:r>
      </w:hyperlink>
      <w:r w:rsidR="00543B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D5D42C0" w14:textId="77777777" w:rsidR="00CD62FC" w:rsidRPr="0085360C" w:rsidRDefault="00CD62FC" w:rsidP="0030477D">
      <w:pPr>
        <w:pStyle w:val="Nosaukums"/>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6F54B21F" w14:textId="592580BD" w:rsidR="00B13406" w:rsidRPr="0057691B" w:rsidRDefault="00B13406" w:rsidP="00B13406">
      <w:pPr>
        <w:pStyle w:val="Nosaukums"/>
        <w:numPr>
          <w:ilvl w:val="1"/>
          <w:numId w:val="30"/>
        </w:numPr>
        <w:ind w:left="426" w:hanging="426"/>
        <w:jc w:val="both"/>
        <w:rPr>
          <w:b w:val="0"/>
          <w:bCs w:val="0"/>
          <w:sz w:val="22"/>
          <w:szCs w:val="22"/>
          <w:lang w:val="lv-LV"/>
        </w:rPr>
      </w:pPr>
      <w:r w:rsidRPr="0057691B">
        <w:rPr>
          <w:bCs w:val="0"/>
          <w:sz w:val="22"/>
          <w:szCs w:val="22"/>
          <w:lang w:val="lv-LV"/>
        </w:rPr>
        <w:t xml:space="preserve">Izsoles objekts </w:t>
      </w:r>
      <w:r w:rsidRPr="00760C71">
        <w:rPr>
          <w:b w:val="0"/>
          <w:sz w:val="22"/>
          <w:szCs w:val="22"/>
          <w:lang w:val="lv-LV"/>
        </w:rPr>
        <w:t>–</w:t>
      </w:r>
      <w:r w:rsidRPr="0057691B">
        <w:rPr>
          <w:b w:val="0"/>
          <w:bCs w:val="0"/>
          <w:sz w:val="22"/>
          <w:szCs w:val="22"/>
          <w:lang w:val="lv-LV"/>
        </w:rPr>
        <w:t xml:space="preserve"> LVM valdījumā esoša nekustamā īpašuma “</w:t>
      </w:r>
      <w:r w:rsidR="00760C71">
        <w:rPr>
          <w:b w:val="0"/>
          <w:bCs w:val="0"/>
          <w:sz w:val="22"/>
          <w:szCs w:val="22"/>
          <w:lang w:val="lv-LV"/>
        </w:rPr>
        <w:t>Valsts mežs Valdemārpils</w:t>
      </w:r>
      <w:r w:rsidRPr="0057691B">
        <w:rPr>
          <w:b w:val="0"/>
          <w:bCs w:val="0"/>
          <w:sz w:val="22"/>
          <w:szCs w:val="22"/>
          <w:lang w:val="lv-LV"/>
        </w:rPr>
        <w:t xml:space="preserve">”, kadastra Nr. </w:t>
      </w:r>
      <w:r w:rsidR="00760C71" w:rsidRPr="00760C71">
        <w:rPr>
          <w:b w:val="0"/>
          <w:bCs w:val="0"/>
          <w:sz w:val="22"/>
          <w:szCs w:val="22"/>
          <w:lang w:val="lv-LV"/>
        </w:rPr>
        <w:t>88370010057</w:t>
      </w:r>
      <w:r w:rsidRPr="0057691B">
        <w:rPr>
          <w:b w:val="0"/>
          <w:bCs w:val="0"/>
          <w:sz w:val="22"/>
          <w:szCs w:val="22"/>
          <w:lang w:val="lv-LV"/>
        </w:rPr>
        <w:t xml:space="preserve">, daļa - </w:t>
      </w:r>
      <w:r w:rsidR="00760C71">
        <w:rPr>
          <w:b w:val="0"/>
          <w:bCs w:val="0"/>
          <w:sz w:val="22"/>
          <w:szCs w:val="22"/>
          <w:lang w:val="lv-LV"/>
        </w:rPr>
        <w:t>0</w:t>
      </w:r>
      <w:r w:rsidRPr="0057691B">
        <w:rPr>
          <w:b w:val="0"/>
          <w:bCs w:val="0"/>
          <w:sz w:val="22"/>
          <w:szCs w:val="22"/>
          <w:lang w:val="lv-LV"/>
        </w:rPr>
        <w:t xml:space="preserve">.80 ha platībā, kas atrodas </w:t>
      </w:r>
      <w:r w:rsidR="00760C71">
        <w:rPr>
          <w:b w:val="0"/>
          <w:bCs w:val="0"/>
          <w:sz w:val="22"/>
          <w:szCs w:val="22"/>
          <w:lang w:val="lv-LV"/>
        </w:rPr>
        <w:t>Talsu</w:t>
      </w:r>
      <w:r w:rsidRPr="0057691B">
        <w:rPr>
          <w:b w:val="0"/>
          <w:bCs w:val="0"/>
          <w:sz w:val="22"/>
          <w:szCs w:val="22"/>
          <w:lang w:val="lv-LV"/>
        </w:rPr>
        <w:t xml:space="preserve"> novada </w:t>
      </w:r>
      <w:proofErr w:type="spellStart"/>
      <w:r w:rsidR="00760C71">
        <w:rPr>
          <w:b w:val="0"/>
          <w:bCs w:val="0"/>
          <w:sz w:val="22"/>
          <w:szCs w:val="22"/>
          <w:lang w:val="lv-LV"/>
        </w:rPr>
        <w:t>Ārlavas</w:t>
      </w:r>
      <w:proofErr w:type="spellEnd"/>
      <w:r w:rsidRPr="0057691B">
        <w:rPr>
          <w:b w:val="0"/>
          <w:bCs w:val="0"/>
          <w:sz w:val="22"/>
          <w:szCs w:val="22"/>
          <w:lang w:val="lv-LV"/>
        </w:rPr>
        <w:t xml:space="preserve"> pagastā, zemes vienībā ar kadastra </w:t>
      </w:r>
      <w:r w:rsidRPr="0057691B">
        <w:rPr>
          <w:b w:val="0"/>
          <w:bCs w:val="0"/>
          <w:sz w:val="22"/>
          <w:szCs w:val="22"/>
          <w:lang w:val="lv-LV"/>
        </w:rPr>
        <w:lastRenderedPageBreak/>
        <w:t xml:space="preserve">apzīmējumu </w:t>
      </w:r>
      <w:r w:rsidR="00760C71" w:rsidRPr="00760C71">
        <w:rPr>
          <w:b w:val="0"/>
          <w:bCs w:val="0"/>
          <w:sz w:val="22"/>
          <w:szCs w:val="22"/>
          <w:lang w:val="lv-LV"/>
        </w:rPr>
        <w:t>88370090078</w:t>
      </w:r>
      <w:r w:rsidRPr="0057691B">
        <w:rPr>
          <w:b w:val="0"/>
          <w:bCs w:val="0"/>
          <w:sz w:val="22"/>
          <w:szCs w:val="22"/>
          <w:lang w:val="lv-LV"/>
        </w:rPr>
        <w:t xml:space="preserve">, </w:t>
      </w:r>
      <w:proofErr w:type="spellStart"/>
      <w:r w:rsidRPr="0057691B">
        <w:rPr>
          <w:b w:val="0"/>
          <w:bCs w:val="0"/>
          <w:sz w:val="22"/>
          <w:szCs w:val="22"/>
          <w:lang w:val="lv-LV"/>
        </w:rPr>
        <w:t>Z</w:t>
      </w:r>
      <w:r w:rsidR="00760C71">
        <w:rPr>
          <w:b w:val="0"/>
          <w:bCs w:val="0"/>
          <w:sz w:val="22"/>
          <w:szCs w:val="22"/>
          <w:lang w:val="lv-LV"/>
        </w:rPr>
        <w:t>iemeļkurzemes</w:t>
      </w:r>
      <w:proofErr w:type="spellEnd"/>
      <w:r w:rsidRPr="0057691B">
        <w:rPr>
          <w:b w:val="0"/>
          <w:bCs w:val="0"/>
          <w:sz w:val="22"/>
          <w:szCs w:val="22"/>
          <w:lang w:val="lv-LV"/>
        </w:rPr>
        <w:t xml:space="preserve"> reģiona </w:t>
      </w:r>
      <w:r w:rsidR="00760C71">
        <w:rPr>
          <w:b w:val="0"/>
          <w:bCs w:val="0"/>
          <w:sz w:val="22"/>
          <w:szCs w:val="22"/>
          <w:lang w:val="lv-LV"/>
        </w:rPr>
        <w:t>Raķupes</w:t>
      </w:r>
      <w:r w:rsidRPr="0057691B">
        <w:rPr>
          <w:b w:val="0"/>
          <w:bCs w:val="0"/>
          <w:sz w:val="22"/>
          <w:szCs w:val="22"/>
          <w:lang w:val="lv-LV"/>
        </w:rPr>
        <w:t xml:space="preserve"> iecirkņa </w:t>
      </w:r>
      <w:r w:rsidR="00760C71">
        <w:rPr>
          <w:b w:val="0"/>
          <w:bCs w:val="0"/>
          <w:sz w:val="22"/>
          <w:szCs w:val="22"/>
          <w:lang w:val="lv-LV"/>
        </w:rPr>
        <w:t>7</w:t>
      </w:r>
      <w:r w:rsidRPr="0057691B">
        <w:rPr>
          <w:b w:val="0"/>
          <w:bCs w:val="0"/>
          <w:sz w:val="22"/>
          <w:szCs w:val="22"/>
          <w:lang w:val="lv-LV"/>
        </w:rPr>
        <w:t xml:space="preserve">07.kvartālu apgabala </w:t>
      </w:r>
      <w:r w:rsidR="00760C71">
        <w:rPr>
          <w:b w:val="0"/>
          <w:bCs w:val="0"/>
          <w:sz w:val="22"/>
          <w:szCs w:val="22"/>
          <w:lang w:val="lv-LV"/>
        </w:rPr>
        <w:t>17</w:t>
      </w:r>
      <w:r w:rsidRPr="0057691B">
        <w:rPr>
          <w:b w:val="0"/>
          <w:bCs w:val="0"/>
          <w:sz w:val="22"/>
          <w:szCs w:val="22"/>
          <w:lang w:val="lv-LV"/>
        </w:rPr>
        <w:t xml:space="preserve">5.kvartāla </w:t>
      </w:r>
      <w:r w:rsidR="00760C71">
        <w:rPr>
          <w:b w:val="0"/>
          <w:bCs w:val="0"/>
          <w:sz w:val="22"/>
          <w:szCs w:val="22"/>
          <w:lang w:val="lv-LV"/>
        </w:rPr>
        <w:t>1</w:t>
      </w:r>
      <w:r w:rsidRPr="0057691B">
        <w:rPr>
          <w:b w:val="0"/>
          <w:bCs w:val="0"/>
          <w:sz w:val="22"/>
          <w:szCs w:val="22"/>
          <w:lang w:val="lv-LV"/>
        </w:rPr>
        <w:t xml:space="preserve">., </w:t>
      </w:r>
      <w:r w:rsidR="00760C71">
        <w:rPr>
          <w:b w:val="0"/>
          <w:bCs w:val="0"/>
          <w:sz w:val="22"/>
          <w:szCs w:val="22"/>
          <w:lang w:val="lv-LV"/>
        </w:rPr>
        <w:t>7</w:t>
      </w:r>
      <w:r w:rsidRPr="0057691B">
        <w:rPr>
          <w:b w:val="0"/>
          <w:bCs w:val="0"/>
          <w:sz w:val="22"/>
          <w:szCs w:val="22"/>
          <w:lang w:val="lv-LV"/>
        </w:rPr>
        <w:t>.</w:t>
      </w:r>
      <w:r w:rsidR="00760C71">
        <w:rPr>
          <w:b w:val="0"/>
          <w:bCs w:val="0"/>
          <w:sz w:val="22"/>
          <w:szCs w:val="22"/>
          <w:lang w:val="lv-LV"/>
        </w:rPr>
        <w:t>,9.</w:t>
      </w:r>
      <w:r w:rsidRPr="0057691B">
        <w:rPr>
          <w:b w:val="0"/>
          <w:bCs w:val="0"/>
          <w:sz w:val="22"/>
          <w:szCs w:val="22"/>
          <w:lang w:val="lv-LV"/>
        </w:rPr>
        <w:t>nogabalu daļā (zemes kategorija – mežaudze)</w:t>
      </w:r>
      <w:r w:rsidR="00760C71">
        <w:rPr>
          <w:b w:val="0"/>
          <w:bCs w:val="0"/>
          <w:sz w:val="22"/>
          <w:szCs w:val="22"/>
          <w:lang w:val="lv-LV"/>
        </w:rPr>
        <w:t>,</w:t>
      </w:r>
      <w:r w:rsidRPr="0057691B">
        <w:rPr>
          <w:b w:val="0"/>
          <w:bCs w:val="0"/>
          <w:sz w:val="22"/>
          <w:szCs w:val="22"/>
          <w:lang w:val="lv-LV"/>
        </w:rPr>
        <w:t xml:space="preserve"> </w:t>
      </w:r>
      <w:r w:rsidR="00760C71">
        <w:rPr>
          <w:b w:val="0"/>
          <w:bCs w:val="0"/>
          <w:sz w:val="22"/>
          <w:szCs w:val="22"/>
          <w:lang w:val="lv-LV"/>
        </w:rPr>
        <w:t>22</w:t>
      </w:r>
      <w:r w:rsidRPr="0057691B">
        <w:rPr>
          <w:b w:val="0"/>
          <w:bCs w:val="0"/>
          <w:sz w:val="22"/>
          <w:szCs w:val="22"/>
          <w:lang w:val="lv-LV"/>
        </w:rPr>
        <w:t xml:space="preserve">.nogabalā (zemes kategorija – </w:t>
      </w:r>
      <w:r w:rsidR="00760C71">
        <w:rPr>
          <w:b w:val="0"/>
          <w:bCs w:val="0"/>
          <w:sz w:val="22"/>
          <w:szCs w:val="22"/>
          <w:lang w:val="lv-LV"/>
        </w:rPr>
        <w:t>pagalms, zeme zem ēkām</w:t>
      </w:r>
      <w:r w:rsidRPr="0057691B">
        <w:rPr>
          <w:b w:val="0"/>
          <w:bCs w:val="0"/>
          <w:sz w:val="22"/>
          <w:szCs w:val="22"/>
          <w:lang w:val="lv-LV"/>
        </w:rPr>
        <w:t xml:space="preserve">) </w:t>
      </w:r>
      <w:r w:rsidR="00760C71">
        <w:rPr>
          <w:b w:val="0"/>
          <w:bCs w:val="0"/>
          <w:sz w:val="22"/>
          <w:szCs w:val="22"/>
          <w:lang w:val="lv-LV"/>
        </w:rPr>
        <w:t xml:space="preserve">un 21.nogabalā </w:t>
      </w:r>
      <w:r w:rsidR="00760C71" w:rsidRPr="0057691B">
        <w:rPr>
          <w:b w:val="0"/>
          <w:bCs w:val="0"/>
          <w:sz w:val="22"/>
          <w:szCs w:val="22"/>
          <w:lang w:val="lv-LV"/>
        </w:rPr>
        <w:t xml:space="preserve">(zemes kategorija – </w:t>
      </w:r>
      <w:r w:rsidR="00760C71">
        <w:rPr>
          <w:b w:val="0"/>
          <w:bCs w:val="0"/>
          <w:sz w:val="22"/>
          <w:szCs w:val="22"/>
          <w:lang w:val="lv-LV"/>
        </w:rPr>
        <w:t>citas ūdenstilpes</w:t>
      </w:r>
      <w:r w:rsidR="00760C71" w:rsidRPr="0057691B">
        <w:rPr>
          <w:b w:val="0"/>
          <w:bCs w:val="0"/>
          <w:sz w:val="22"/>
          <w:szCs w:val="22"/>
          <w:lang w:val="lv-LV"/>
        </w:rPr>
        <w:t>)</w:t>
      </w:r>
      <w:r w:rsidR="00760C71">
        <w:rPr>
          <w:b w:val="0"/>
          <w:bCs w:val="0"/>
          <w:sz w:val="22"/>
          <w:szCs w:val="22"/>
          <w:lang w:val="lv-LV"/>
        </w:rPr>
        <w:t xml:space="preserve"> </w:t>
      </w:r>
      <w:r w:rsidRPr="0057691B">
        <w:rPr>
          <w:b w:val="0"/>
          <w:bCs w:val="0"/>
          <w:sz w:val="22"/>
          <w:szCs w:val="22"/>
          <w:lang w:val="lv-LV"/>
        </w:rPr>
        <w:t>(turpmāk – Zeme).</w:t>
      </w:r>
    </w:p>
    <w:p w14:paraId="1F4253F6" w14:textId="75A19E6C" w:rsidR="00B13406" w:rsidRPr="0057691B" w:rsidRDefault="00B13406" w:rsidP="00B13406">
      <w:pPr>
        <w:pStyle w:val="Nosaukums"/>
        <w:numPr>
          <w:ilvl w:val="1"/>
          <w:numId w:val="30"/>
        </w:numPr>
        <w:ind w:left="426" w:hanging="426"/>
        <w:jc w:val="both"/>
        <w:rPr>
          <w:b w:val="0"/>
          <w:bCs w:val="0"/>
          <w:sz w:val="22"/>
          <w:szCs w:val="22"/>
          <w:lang w:val="lv-LV"/>
        </w:rPr>
      </w:pPr>
      <w:r w:rsidRPr="0057691B">
        <w:rPr>
          <w:b w:val="0"/>
          <w:bCs w:val="0"/>
          <w:sz w:val="22"/>
          <w:szCs w:val="22"/>
          <w:lang w:val="lv-LV"/>
        </w:rPr>
        <w:t xml:space="preserve">Īpašuma tiesības uz Zemi reģistrētas uz valsts vārda Latvijas Republikas Zemkopības ministrijas personā </w:t>
      </w:r>
      <w:r w:rsidR="00760C71">
        <w:rPr>
          <w:b w:val="0"/>
          <w:bCs w:val="0"/>
          <w:sz w:val="22"/>
          <w:szCs w:val="22"/>
          <w:lang w:val="lv-LV"/>
        </w:rPr>
        <w:t>Kurzemes</w:t>
      </w:r>
      <w:r w:rsidRPr="0057691B">
        <w:rPr>
          <w:b w:val="0"/>
          <w:bCs w:val="0"/>
          <w:sz w:val="22"/>
          <w:szCs w:val="22"/>
          <w:lang w:val="lv-LV"/>
        </w:rPr>
        <w:t xml:space="preserve"> rajona tiesas </w:t>
      </w:r>
      <w:proofErr w:type="spellStart"/>
      <w:r w:rsidR="00760C71">
        <w:rPr>
          <w:b w:val="0"/>
          <w:bCs w:val="0"/>
          <w:sz w:val="22"/>
          <w:szCs w:val="22"/>
          <w:lang w:val="lv-LV"/>
        </w:rPr>
        <w:t>Ārlavas</w:t>
      </w:r>
      <w:proofErr w:type="spellEnd"/>
      <w:r w:rsidR="00760C71">
        <w:rPr>
          <w:b w:val="0"/>
          <w:bCs w:val="0"/>
          <w:sz w:val="22"/>
          <w:szCs w:val="22"/>
          <w:lang w:val="lv-LV"/>
        </w:rPr>
        <w:t xml:space="preserve"> </w:t>
      </w:r>
      <w:r w:rsidRPr="0057691B">
        <w:rPr>
          <w:b w:val="0"/>
          <w:bCs w:val="0"/>
          <w:sz w:val="22"/>
          <w:szCs w:val="22"/>
          <w:lang w:val="lv-LV"/>
        </w:rPr>
        <w:t xml:space="preserve">pagasta zemesgrāmatas nodalījumā  Nr. </w:t>
      </w:r>
      <w:r w:rsidR="00760C71" w:rsidRPr="00760C71">
        <w:rPr>
          <w:b w:val="0"/>
          <w:bCs w:val="0"/>
          <w:sz w:val="22"/>
          <w:szCs w:val="22"/>
          <w:lang w:val="lv-LV"/>
        </w:rPr>
        <w:t>100000539657</w:t>
      </w:r>
      <w:r w:rsidRPr="0057691B">
        <w:rPr>
          <w:b w:val="0"/>
          <w:bCs w:val="0"/>
          <w:sz w:val="22"/>
          <w:szCs w:val="22"/>
          <w:lang w:val="lv-LV"/>
        </w:rPr>
        <w:t>.</w:t>
      </w:r>
    </w:p>
    <w:p w14:paraId="2E5B07AD" w14:textId="77777777" w:rsidR="0080480C" w:rsidRPr="0080480C" w:rsidRDefault="00760C71" w:rsidP="00B13406">
      <w:pPr>
        <w:pStyle w:val="Nosaukums"/>
        <w:numPr>
          <w:ilvl w:val="1"/>
          <w:numId w:val="30"/>
        </w:numPr>
        <w:ind w:left="426" w:hanging="426"/>
        <w:jc w:val="both"/>
        <w:rPr>
          <w:strike/>
          <w:sz w:val="22"/>
          <w:szCs w:val="22"/>
          <w:lang w:val="lv-LV"/>
        </w:rPr>
      </w:pPr>
      <w:r>
        <w:rPr>
          <w:bCs w:val="0"/>
          <w:sz w:val="22"/>
          <w:szCs w:val="22"/>
          <w:lang w:val="lv-LV"/>
        </w:rPr>
        <w:t>I</w:t>
      </w:r>
      <w:r w:rsidR="00B13406" w:rsidRPr="0057691B">
        <w:rPr>
          <w:bCs w:val="0"/>
          <w:sz w:val="22"/>
          <w:szCs w:val="22"/>
          <w:lang w:val="lv-LV"/>
        </w:rPr>
        <w:t xml:space="preserve">znomāšanas mērķis </w:t>
      </w:r>
      <w:r w:rsidR="00B13406" w:rsidRPr="0057691B">
        <w:rPr>
          <w:b w:val="0"/>
          <w:bCs w:val="0"/>
          <w:sz w:val="22"/>
          <w:szCs w:val="22"/>
          <w:lang w:val="lv-LV"/>
        </w:rPr>
        <w:t xml:space="preserve">– </w:t>
      </w:r>
      <w:bookmarkStart w:id="2" w:name="_Hlk188627256"/>
      <w:r w:rsidRPr="00F65CAB">
        <w:rPr>
          <w:b w:val="0"/>
          <w:bCs w:val="0"/>
          <w:sz w:val="22"/>
          <w:szCs w:val="22"/>
          <w:lang w:val="lv-LV"/>
        </w:rPr>
        <w:t xml:space="preserve">Teritorijas uzturēšana un labiekārtošana rekreācijai. </w:t>
      </w:r>
    </w:p>
    <w:p w14:paraId="4E9BD238" w14:textId="643D4E12" w:rsidR="00B13406" w:rsidRPr="001E7D00" w:rsidRDefault="00760C71" w:rsidP="00B13406">
      <w:pPr>
        <w:pStyle w:val="Nosaukums"/>
        <w:numPr>
          <w:ilvl w:val="1"/>
          <w:numId w:val="30"/>
        </w:numPr>
        <w:ind w:left="426" w:hanging="426"/>
        <w:jc w:val="both"/>
        <w:rPr>
          <w:strike/>
          <w:sz w:val="22"/>
          <w:szCs w:val="22"/>
          <w:lang w:val="lv-LV"/>
        </w:rPr>
      </w:pPr>
      <w:r w:rsidRPr="001E7D00">
        <w:rPr>
          <w:b w:val="0"/>
          <w:bCs w:val="0"/>
          <w:sz w:val="22"/>
          <w:szCs w:val="22"/>
          <w:lang w:val="lv-LV"/>
        </w:rPr>
        <w:t>Nomas līguma ietvaros atļauta rekreācijas nozīmes labiekārtojuma elementu (atbilstoši Vispārīgo būvnoteikumu inženierbūvju I grupai) būvniecība, bez tiesībām reģistrēt būves Zemesgrāmatā kā Nomnieka patstāvīgus īpašumtiesību objektus.</w:t>
      </w:r>
    </w:p>
    <w:bookmarkEnd w:id="2"/>
    <w:p w14:paraId="69F91B7B" w14:textId="77777777" w:rsidR="00760C71" w:rsidRPr="0085360C" w:rsidRDefault="00760C71" w:rsidP="00760C71">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Pr="0085360C">
        <w:rPr>
          <w:bCs w:val="0"/>
          <w:sz w:val="22"/>
          <w:szCs w:val="22"/>
          <w:lang w:val="lv-LV"/>
        </w:rPr>
        <w:t>a termiņš</w:t>
      </w:r>
      <w:r w:rsidRPr="0085360C">
        <w:rPr>
          <w:b w:val="0"/>
          <w:bCs w:val="0"/>
          <w:sz w:val="22"/>
          <w:szCs w:val="22"/>
          <w:lang w:val="lv-LV"/>
        </w:rPr>
        <w:t xml:space="preserve"> – </w:t>
      </w:r>
      <w:r>
        <w:rPr>
          <w:b w:val="0"/>
          <w:bCs w:val="0"/>
          <w:sz w:val="22"/>
          <w:szCs w:val="22"/>
          <w:lang w:val="lv-LV"/>
        </w:rPr>
        <w:t>10</w:t>
      </w:r>
      <w:r w:rsidRPr="0085360C">
        <w:rPr>
          <w:b w:val="0"/>
          <w:bCs w:val="0"/>
          <w:sz w:val="22"/>
          <w:szCs w:val="22"/>
          <w:lang w:val="lv-LV"/>
        </w:rPr>
        <w:t xml:space="preserve"> gadi.</w:t>
      </w:r>
    </w:p>
    <w:p w14:paraId="18220879" w14:textId="6332934F" w:rsidR="00760C71" w:rsidRDefault="00B13406" w:rsidP="00760C71">
      <w:pPr>
        <w:pStyle w:val="Nosaukums"/>
        <w:numPr>
          <w:ilvl w:val="1"/>
          <w:numId w:val="30"/>
        </w:numPr>
        <w:ind w:left="426" w:hanging="426"/>
        <w:jc w:val="both"/>
        <w:rPr>
          <w:b w:val="0"/>
          <w:bCs w:val="0"/>
          <w:color w:val="FF0000"/>
          <w:sz w:val="22"/>
          <w:szCs w:val="22"/>
          <w:lang w:val="lv-LV"/>
        </w:rPr>
      </w:pPr>
      <w:r w:rsidRPr="0057691B">
        <w:rPr>
          <w:bCs w:val="0"/>
          <w:sz w:val="22"/>
          <w:szCs w:val="22"/>
          <w:lang w:val="lv-LV"/>
        </w:rPr>
        <w:t>Izsoles objekta sākumcena</w:t>
      </w:r>
      <w:r w:rsidRPr="0057691B">
        <w:rPr>
          <w:b w:val="0"/>
          <w:bCs w:val="0"/>
          <w:sz w:val="22"/>
          <w:szCs w:val="22"/>
          <w:lang w:val="lv-LV"/>
        </w:rPr>
        <w:t xml:space="preserve"> ir </w:t>
      </w:r>
      <w:r w:rsidRPr="0057691B">
        <w:rPr>
          <w:bCs w:val="0"/>
          <w:sz w:val="22"/>
          <w:szCs w:val="22"/>
          <w:lang w:val="lv-LV"/>
        </w:rPr>
        <w:t xml:space="preserve">EUR </w:t>
      </w:r>
      <w:r w:rsidR="00DB37BB">
        <w:rPr>
          <w:bCs w:val="0"/>
          <w:sz w:val="22"/>
          <w:szCs w:val="22"/>
          <w:lang w:val="lv-LV"/>
        </w:rPr>
        <w:t>244</w:t>
      </w:r>
      <w:r w:rsidRPr="0057691B">
        <w:rPr>
          <w:bCs w:val="0"/>
          <w:sz w:val="22"/>
          <w:szCs w:val="22"/>
          <w:lang w:val="lv-LV"/>
        </w:rPr>
        <w:t xml:space="preserve">,00 </w:t>
      </w:r>
      <w:r w:rsidRPr="0057691B">
        <w:rPr>
          <w:b w:val="0"/>
          <w:sz w:val="22"/>
          <w:szCs w:val="22"/>
          <w:lang w:val="lv-LV"/>
        </w:rPr>
        <w:t>(</w:t>
      </w:r>
      <w:r w:rsidR="00DB37BB">
        <w:rPr>
          <w:b w:val="0"/>
          <w:sz w:val="22"/>
          <w:szCs w:val="22"/>
          <w:lang w:val="lv-LV"/>
        </w:rPr>
        <w:t>divi</w:t>
      </w:r>
      <w:r w:rsidRPr="0057691B">
        <w:rPr>
          <w:b w:val="0"/>
          <w:sz w:val="22"/>
          <w:szCs w:val="22"/>
          <w:lang w:val="lv-LV"/>
        </w:rPr>
        <w:t xml:space="preserve"> simti četrdesmit </w:t>
      </w:r>
      <w:r w:rsidR="00DB37BB">
        <w:rPr>
          <w:b w:val="0"/>
          <w:sz w:val="22"/>
          <w:szCs w:val="22"/>
          <w:lang w:val="lv-LV"/>
        </w:rPr>
        <w:t>četri</w:t>
      </w:r>
      <w:r w:rsidRPr="0057691B">
        <w:rPr>
          <w:b w:val="0"/>
          <w:sz w:val="22"/>
          <w:szCs w:val="22"/>
          <w:lang w:val="lv-LV"/>
        </w:rPr>
        <w:t xml:space="preserve"> </w:t>
      </w:r>
      <w:proofErr w:type="spellStart"/>
      <w:r w:rsidRPr="0057691B">
        <w:rPr>
          <w:b w:val="0"/>
          <w:sz w:val="22"/>
          <w:szCs w:val="22"/>
          <w:lang w:val="lv-LV"/>
        </w:rPr>
        <w:t>euro</w:t>
      </w:r>
      <w:proofErr w:type="spellEnd"/>
      <w:r w:rsidRPr="0057691B">
        <w:rPr>
          <w:b w:val="0"/>
          <w:sz w:val="22"/>
          <w:szCs w:val="22"/>
          <w:lang w:val="lv-LV"/>
        </w:rPr>
        <w:t xml:space="preserve"> </w:t>
      </w:r>
      <w:r w:rsidR="00DB37BB">
        <w:rPr>
          <w:b w:val="0"/>
          <w:sz w:val="22"/>
          <w:szCs w:val="22"/>
          <w:lang w:val="lv-LV"/>
        </w:rPr>
        <w:t xml:space="preserve">un </w:t>
      </w:r>
      <w:r w:rsidRPr="0057691B">
        <w:rPr>
          <w:b w:val="0"/>
          <w:sz w:val="22"/>
          <w:szCs w:val="22"/>
          <w:lang w:val="lv-LV"/>
        </w:rPr>
        <w:t>nulle centi) gadā,</w:t>
      </w:r>
      <w:r w:rsidRPr="0057691B">
        <w:rPr>
          <w:b w:val="0"/>
          <w:bCs w:val="0"/>
          <w:color w:val="FF0000"/>
          <w:sz w:val="22"/>
          <w:szCs w:val="22"/>
          <w:lang w:val="lv-LV"/>
        </w:rPr>
        <w:t xml:space="preserve"> </w:t>
      </w:r>
      <w:r w:rsidRPr="0057691B">
        <w:rPr>
          <w:b w:val="0"/>
          <w:bCs w:val="0"/>
          <w:sz w:val="22"/>
          <w:szCs w:val="22"/>
          <w:lang w:val="lv-LV"/>
        </w:rPr>
        <w:t>neieskaitot nekustamā īpašuma</w:t>
      </w:r>
      <w:r w:rsidRPr="0057691B">
        <w:rPr>
          <w:b w:val="0"/>
          <w:bCs w:val="0"/>
          <w:color w:val="FF0000"/>
          <w:sz w:val="22"/>
          <w:szCs w:val="22"/>
          <w:lang w:val="lv-LV"/>
        </w:rPr>
        <w:t xml:space="preserve"> </w:t>
      </w:r>
      <w:r w:rsidRPr="0057691B">
        <w:rPr>
          <w:b w:val="0"/>
          <w:bCs w:val="0"/>
          <w:sz w:val="22"/>
          <w:szCs w:val="22"/>
          <w:lang w:val="lv-LV"/>
        </w:rPr>
        <w:t xml:space="preserve">nodokli (turpmāk – NĪN) un pievienotās vērtības nodokli (turpmāk – PVN). </w:t>
      </w:r>
    </w:p>
    <w:p w14:paraId="7278C2B8" w14:textId="77777777" w:rsidR="00DB37BB" w:rsidRDefault="00760C71" w:rsidP="00DB37BB">
      <w:pPr>
        <w:pStyle w:val="Nosaukums"/>
        <w:numPr>
          <w:ilvl w:val="1"/>
          <w:numId w:val="30"/>
        </w:numPr>
        <w:ind w:left="426" w:hanging="426"/>
        <w:jc w:val="both"/>
        <w:rPr>
          <w:b w:val="0"/>
          <w:bCs w:val="0"/>
          <w:color w:val="FF0000"/>
          <w:sz w:val="22"/>
          <w:szCs w:val="22"/>
          <w:lang w:val="lv-LV"/>
        </w:rPr>
      </w:pPr>
      <w:r w:rsidRPr="00760C71">
        <w:rPr>
          <w:sz w:val="22"/>
          <w:szCs w:val="22"/>
          <w:lang w:val="lv-LV"/>
        </w:rPr>
        <w:t>Drošības nauda</w:t>
      </w:r>
      <w:r w:rsidRPr="00760C71">
        <w:rPr>
          <w:b w:val="0"/>
          <w:bCs w:val="0"/>
          <w:sz w:val="22"/>
          <w:szCs w:val="22"/>
          <w:lang w:val="lv-LV"/>
        </w:rPr>
        <w:t xml:space="preserve"> </w:t>
      </w:r>
      <w:r w:rsidRPr="00760C71">
        <w:rPr>
          <w:b w:val="0"/>
          <w:bCs w:val="0"/>
          <w:iCs/>
          <w:sz w:val="22"/>
          <w:szCs w:val="22"/>
          <w:lang w:val="lv-LV"/>
        </w:rPr>
        <w:t xml:space="preserve">(turpmāk – Drošības nauda) ir  </w:t>
      </w:r>
      <w:r w:rsidR="00DB37BB">
        <w:rPr>
          <w:bCs w:val="0"/>
          <w:sz w:val="22"/>
          <w:szCs w:val="22"/>
          <w:lang w:val="lv-LV"/>
        </w:rPr>
        <w:t>63</w:t>
      </w:r>
      <w:r w:rsidRPr="00760C71">
        <w:rPr>
          <w:bCs w:val="0"/>
          <w:sz w:val="22"/>
          <w:szCs w:val="22"/>
          <w:lang w:val="lv-LV"/>
        </w:rPr>
        <w:t>0,00 EUR</w:t>
      </w:r>
      <w:r w:rsidRPr="00760C71">
        <w:rPr>
          <w:b w:val="0"/>
          <w:bCs w:val="0"/>
          <w:iCs/>
          <w:sz w:val="22"/>
          <w:szCs w:val="22"/>
          <w:lang w:val="lv-LV"/>
        </w:rPr>
        <w:t xml:space="preserve"> (</w:t>
      </w:r>
      <w:r w:rsidR="00DB37BB">
        <w:rPr>
          <w:b w:val="0"/>
          <w:bCs w:val="0"/>
          <w:iCs/>
          <w:sz w:val="22"/>
          <w:szCs w:val="22"/>
          <w:lang w:val="lv-LV"/>
        </w:rPr>
        <w:t>seši</w:t>
      </w:r>
      <w:r w:rsidRPr="00760C71">
        <w:rPr>
          <w:b w:val="0"/>
          <w:bCs w:val="0"/>
          <w:iCs/>
          <w:sz w:val="22"/>
          <w:szCs w:val="22"/>
          <w:lang w:val="lv-LV"/>
        </w:rPr>
        <w:t xml:space="preserve"> simti </w:t>
      </w:r>
      <w:r w:rsidR="00DB37BB">
        <w:rPr>
          <w:b w:val="0"/>
          <w:bCs w:val="0"/>
          <w:iCs/>
          <w:sz w:val="22"/>
          <w:szCs w:val="22"/>
          <w:lang w:val="lv-LV"/>
        </w:rPr>
        <w:t>trīs</w:t>
      </w:r>
      <w:r w:rsidRPr="00760C71">
        <w:rPr>
          <w:b w:val="0"/>
          <w:bCs w:val="0"/>
          <w:iCs/>
          <w:sz w:val="22"/>
          <w:szCs w:val="22"/>
          <w:lang w:val="lv-LV"/>
        </w:rPr>
        <w:t xml:space="preserve">desmit </w:t>
      </w:r>
      <w:proofErr w:type="spellStart"/>
      <w:r w:rsidRPr="00760C71">
        <w:rPr>
          <w:b w:val="0"/>
          <w:bCs w:val="0"/>
          <w:iCs/>
          <w:sz w:val="22"/>
          <w:szCs w:val="22"/>
          <w:lang w:val="lv-LV"/>
        </w:rPr>
        <w:t>euro</w:t>
      </w:r>
      <w:proofErr w:type="spellEnd"/>
      <w:r w:rsidRPr="00760C71">
        <w:rPr>
          <w:b w:val="0"/>
          <w:bCs w:val="0"/>
          <w:iCs/>
          <w:sz w:val="22"/>
          <w:szCs w:val="22"/>
          <w:lang w:val="lv-LV"/>
        </w:rPr>
        <w:t xml:space="preserve"> un nulle centi).</w:t>
      </w:r>
    </w:p>
    <w:p w14:paraId="487EF57B" w14:textId="77777777" w:rsidR="0080480C" w:rsidRPr="0080480C" w:rsidRDefault="00B13406" w:rsidP="00DB37BB">
      <w:pPr>
        <w:pStyle w:val="Nosaukums"/>
        <w:numPr>
          <w:ilvl w:val="1"/>
          <w:numId w:val="30"/>
        </w:numPr>
        <w:ind w:left="426" w:hanging="426"/>
        <w:jc w:val="both"/>
        <w:rPr>
          <w:b w:val="0"/>
          <w:bCs w:val="0"/>
          <w:color w:val="FF0000"/>
          <w:sz w:val="22"/>
          <w:szCs w:val="22"/>
          <w:lang w:val="lv-LV"/>
        </w:rPr>
      </w:pPr>
      <w:proofErr w:type="spellStart"/>
      <w:r w:rsidRPr="00DB37BB">
        <w:rPr>
          <w:b w:val="0"/>
          <w:bCs w:val="0"/>
          <w:sz w:val="22"/>
          <w:szCs w:val="22"/>
        </w:rPr>
        <w:t>Izsolē</w:t>
      </w:r>
      <w:proofErr w:type="spellEnd"/>
      <w:r w:rsidRPr="00DB37BB">
        <w:rPr>
          <w:b w:val="0"/>
          <w:bCs w:val="0"/>
          <w:sz w:val="22"/>
          <w:szCs w:val="22"/>
        </w:rPr>
        <w:t xml:space="preserve"> </w:t>
      </w:r>
      <w:proofErr w:type="spellStart"/>
      <w:r w:rsidRPr="00DB37BB">
        <w:rPr>
          <w:b w:val="0"/>
          <w:bCs w:val="0"/>
          <w:sz w:val="22"/>
          <w:szCs w:val="22"/>
        </w:rPr>
        <w:t>tiesības</w:t>
      </w:r>
      <w:proofErr w:type="spellEnd"/>
      <w:r w:rsidRPr="00DB37BB">
        <w:rPr>
          <w:b w:val="0"/>
          <w:bCs w:val="0"/>
          <w:sz w:val="22"/>
          <w:szCs w:val="22"/>
        </w:rPr>
        <w:t xml:space="preserve"> </w:t>
      </w:r>
      <w:proofErr w:type="spellStart"/>
      <w:r w:rsidRPr="00DB37BB">
        <w:rPr>
          <w:b w:val="0"/>
          <w:bCs w:val="0"/>
          <w:sz w:val="22"/>
          <w:szCs w:val="22"/>
        </w:rPr>
        <w:t>slēgt</w:t>
      </w:r>
      <w:proofErr w:type="spellEnd"/>
      <w:r w:rsidRPr="00DB37BB">
        <w:rPr>
          <w:b w:val="0"/>
          <w:bCs w:val="0"/>
          <w:sz w:val="22"/>
          <w:szCs w:val="22"/>
        </w:rPr>
        <w:t xml:space="preserve"> </w:t>
      </w:r>
      <w:proofErr w:type="spellStart"/>
      <w:r w:rsidRPr="00DB37BB">
        <w:rPr>
          <w:b w:val="0"/>
          <w:bCs w:val="0"/>
          <w:sz w:val="22"/>
          <w:szCs w:val="22"/>
        </w:rPr>
        <w:t>Līgumu</w:t>
      </w:r>
      <w:proofErr w:type="spellEnd"/>
      <w:r w:rsidRPr="00DB37BB">
        <w:rPr>
          <w:b w:val="0"/>
          <w:bCs w:val="0"/>
          <w:sz w:val="22"/>
          <w:szCs w:val="22"/>
        </w:rPr>
        <w:t xml:space="preserve"> tiek solītas ar augšupejošu cenu, </w:t>
      </w:r>
      <w:r w:rsidRPr="00DB37BB">
        <w:rPr>
          <w:sz w:val="22"/>
          <w:szCs w:val="22"/>
        </w:rPr>
        <w:t xml:space="preserve">Izsoles paaugstinājuma solis ir EUR </w:t>
      </w:r>
      <w:r w:rsidR="00DB37BB" w:rsidRPr="00DB37BB">
        <w:rPr>
          <w:sz w:val="22"/>
          <w:szCs w:val="22"/>
        </w:rPr>
        <w:t>2</w:t>
      </w:r>
      <w:r w:rsidRPr="00DB37BB">
        <w:rPr>
          <w:sz w:val="22"/>
          <w:szCs w:val="22"/>
        </w:rPr>
        <w:t>0,00</w:t>
      </w:r>
      <w:r w:rsidRPr="00DB37BB">
        <w:rPr>
          <w:b w:val="0"/>
          <w:bCs w:val="0"/>
          <w:sz w:val="22"/>
          <w:szCs w:val="22"/>
        </w:rPr>
        <w:t xml:space="preserve"> (</w:t>
      </w:r>
      <w:proofErr w:type="spellStart"/>
      <w:r w:rsidR="00DB37BB" w:rsidRPr="00DB37BB">
        <w:rPr>
          <w:b w:val="0"/>
          <w:bCs w:val="0"/>
          <w:sz w:val="22"/>
          <w:szCs w:val="22"/>
        </w:rPr>
        <w:t>div</w:t>
      </w:r>
      <w:r w:rsidRPr="00DB37BB">
        <w:rPr>
          <w:b w:val="0"/>
          <w:bCs w:val="0"/>
          <w:sz w:val="22"/>
          <w:szCs w:val="22"/>
        </w:rPr>
        <w:t>desmit</w:t>
      </w:r>
      <w:proofErr w:type="spellEnd"/>
      <w:r w:rsidRPr="00DB37BB">
        <w:rPr>
          <w:b w:val="0"/>
          <w:bCs w:val="0"/>
          <w:sz w:val="22"/>
          <w:szCs w:val="22"/>
        </w:rPr>
        <w:t xml:space="preserve"> euro un </w:t>
      </w:r>
      <w:proofErr w:type="spellStart"/>
      <w:r w:rsidRPr="00DB37BB">
        <w:rPr>
          <w:b w:val="0"/>
          <w:bCs w:val="0"/>
          <w:sz w:val="22"/>
          <w:szCs w:val="22"/>
        </w:rPr>
        <w:t>nulle</w:t>
      </w:r>
      <w:proofErr w:type="spellEnd"/>
      <w:r w:rsidRPr="00DB37BB">
        <w:rPr>
          <w:b w:val="0"/>
          <w:bCs w:val="0"/>
          <w:sz w:val="22"/>
          <w:szCs w:val="22"/>
        </w:rPr>
        <w:t xml:space="preserve"> </w:t>
      </w:r>
      <w:proofErr w:type="spellStart"/>
      <w:r w:rsidRPr="00DB37BB">
        <w:rPr>
          <w:b w:val="0"/>
          <w:bCs w:val="0"/>
          <w:sz w:val="22"/>
          <w:szCs w:val="22"/>
        </w:rPr>
        <w:t>centi</w:t>
      </w:r>
      <w:proofErr w:type="spellEnd"/>
      <w:r w:rsidRPr="00DB37BB">
        <w:rPr>
          <w:b w:val="0"/>
          <w:bCs w:val="0"/>
          <w:sz w:val="22"/>
          <w:szCs w:val="22"/>
        </w:rPr>
        <w:t>) nomas maksai gadā.</w:t>
      </w:r>
      <w:r w:rsidR="00DB37BB" w:rsidRPr="00DB37BB">
        <w:rPr>
          <w:sz w:val="22"/>
          <w:szCs w:val="22"/>
        </w:rPr>
        <w:t xml:space="preserve"> </w:t>
      </w:r>
    </w:p>
    <w:p w14:paraId="36CEDA32" w14:textId="4A48089B" w:rsidR="00B13406" w:rsidRPr="00DB37BB" w:rsidRDefault="00DB37BB" w:rsidP="00DB37BB">
      <w:pPr>
        <w:pStyle w:val="Nosaukums"/>
        <w:numPr>
          <w:ilvl w:val="1"/>
          <w:numId w:val="30"/>
        </w:numPr>
        <w:ind w:left="426" w:hanging="426"/>
        <w:jc w:val="both"/>
        <w:rPr>
          <w:b w:val="0"/>
          <w:bCs w:val="0"/>
          <w:color w:val="FF0000"/>
          <w:sz w:val="22"/>
          <w:szCs w:val="22"/>
          <w:lang w:val="lv-LV"/>
        </w:rPr>
      </w:pPr>
      <w:r w:rsidRPr="00DB37BB">
        <w:rPr>
          <w:b w:val="0"/>
          <w:bCs w:val="0"/>
          <w:sz w:val="22"/>
          <w:szCs w:val="22"/>
          <w:lang w:val="lv-LV"/>
        </w:rPr>
        <w:t>Solīšanu sāk no Izsoles objekta sākumcenas un viena Izsoles soļa summas.</w:t>
      </w:r>
    </w:p>
    <w:p w14:paraId="7AFA96A4" w14:textId="628CC3AF" w:rsidR="00760651" w:rsidRPr="00DB37BB" w:rsidRDefault="00760651" w:rsidP="0080480C">
      <w:pPr>
        <w:pStyle w:val="Nosaukums"/>
        <w:numPr>
          <w:ilvl w:val="1"/>
          <w:numId w:val="30"/>
        </w:numPr>
        <w:ind w:left="425" w:hanging="567"/>
        <w:jc w:val="both"/>
        <w:rPr>
          <w:b w:val="0"/>
          <w:bCs w:val="0"/>
          <w:sz w:val="22"/>
          <w:szCs w:val="22"/>
          <w:lang w:val="lv-LV"/>
        </w:rPr>
      </w:pPr>
      <w:proofErr w:type="spellStart"/>
      <w:r w:rsidRPr="0085360C">
        <w:rPr>
          <w:sz w:val="22"/>
        </w:rPr>
        <w:t>Izsoles</w:t>
      </w:r>
      <w:proofErr w:type="spellEnd"/>
      <w:r w:rsidRPr="0085360C">
        <w:rPr>
          <w:sz w:val="22"/>
        </w:rPr>
        <w:t xml:space="preserve"> </w:t>
      </w:r>
      <w:proofErr w:type="spellStart"/>
      <w:r w:rsidRPr="0085360C">
        <w:rPr>
          <w:sz w:val="22"/>
        </w:rPr>
        <w:t>veids</w:t>
      </w:r>
      <w:proofErr w:type="spellEnd"/>
      <w:r w:rsidRPr="0085360C">
        <w:rPr>
          <w:sz w:val="22"/>
        </w:rPr>
        <w:t xml:space="preserve"> – </w:t>
      </w:r>
      <w:proofErr w:type="spellStart"/>
      <w:r w:rsidRPr="00DB37BB">
        <w:rPr>
          <w:b w:val="0"/>
          <w:bCs w:val="0"/>
          <w:sz w:val="22"/>
        </w:rPr>
        <w:t>elektroniskā</w:t>
      </w:r>
      <w:proofErr w:type="spellEnd"/>
      <w:r w:rsidRPr="00DB37BB">
        <w:rPr>
          <w:b w:val="0"/>
          <w:bCs w:val="0"/>
          <w:sz w:val="22"/>
        </w:rPr>
        <w:t xml:space="preserve"> izsole elektronisko izsoļu vietnē </w:t>
      </w:r>
      <w:hyperlink r:id="rId9" w:history="1">
        <w:r w:rsidRPr="00DB37BB">
          <w:rPr>
            <w:rStyle w:val="Hipersaite"/>
            <w:b w:val="0"/>
            <w:bCs w:val="0"/>
            <w:sz w:val="22"/>
          </w:rPr>
          <w:t>https://izsoles.ta.gov.lv</w:t>
        </w:r>
      </w:hyperlink>
      <w:r w:rsidRPr="00DB37BB">
        <w:rPr>
          <w:b w:val="0"/>
          <w:bCs w:val="0"/>
          <w:sz w:val="22"/>
        </w:rPr>
        <w:t>.</w:t>
      </w:r>
      <w:r w:rsidR="0030477D" w:rsidRPr="00DB37BB">
        <w:rPr>
          <w:b w:val="0"/>
          <w:bCs w:val="0"/>
          <w:sz w:val="22"/>
          <w:szCs w:val="22"/>
          <w:lang w:val="lv-LV"/>
        </w:rPr>
        <w:t xml:space="preserve"> </w:t>
      </w:r>
    </w:p>
    <w:p w14:paraId="4681F8C0" w14:textId="77777777" w:rsidR="0080480C" w:rsidRPr="0080480C" w:rsidRDefault="00760651" w:rsidP="0080480C">
      <w:pPr>
        <w:pStyle w:val="Nosaukums"/>
        <w:numPr>
          <w:ilvl w:val="1"/>
          <w:numId w:val="30"/>
        </w:numPr>
        <w:tabs>
          <w:tab w:val="left" w:pos="709"/>
        </w:tabs>
        <w:ind w:left="425" w:hanging="567"/>
        <w:jc w:val="both"/>
        <w:rPr>
          <w:b w:val="0"/>
          <w:bCs w:val="0"/>
          <w:sz w:val="22"/>
          <w:szCs w:val="22"/>
          <w:lang w:val="lv-LV"/>
        </w:rPr>
      </w:pPr>
      <w:r w:rsidRPr="00CD62FC">
        <w:rPr>
          <w:b w:val="0"/>
          <w:bCs w:val="0"/>
          <w:sz w:val="22"/>
        </w:rPr>
        <w:t xml:space="preserve">Papildus </w:t>
      </w:r>
      <w:r w:rsidR="00CD62FC" w:rsidRPr="004B1878">
        <w:rPr>
          <w:b w:val="0"/>
          <w:bCs w:val="0"/>
          <w:sz w:val="22"/>
        </w:rPr>
        <w:t xml:space="preserve">nosolītajai cenai maksājams nekustamā īpašuma nodoklis (turpmāk – NĪN) un pievienotās vērtības nodoklis (turpmāk – PVN). </w:t>
      </w:r>
    </w:p>
    <w:p w14:paraId="527ADD0B" w14:textId="376205B6" w:rsidR="0080480C" w:rsidRPr="0080480C" w:rsidRDefault="0080480C" w:rsidP="0080480C">
      <w:pPr>
        <w:pStyle w:val="Nosaukums"/>
        <w:numPr>
          <w:ilvl w:val="1"/>
          <w:numId w:val="30"/>
        </w:numPr>
        <w:tabs>
          <w:tab w:val="left" w:pos="709"/>
        </w:tabs>
        <w:ind w:left="425" w:hanging="567"/>
        <w:jc w:val="both"/>
        <w:rPr>
          <w:b w:val="0"/>
          <w:bCs w:val="0"/>
          <w:sz w:val="22"/>
          <w:szCs w:val="22"/>
          <w:lang w:val="lv-LV"/>
        </w:rPr>
      </w:pPr>
      <w:proofErr w:type="spellStart"/>
      <w:r w:rsidRPr="0080480C">
        <w:rPr>
          <w:b w:val="0"/>
          <w:bCs w:val="0"/>
          <w:sz w:val="22"/>
        </w:rPr>
        <w:t>Atbilstoši</w:t>
      </w:r>
      <w:proofErr w:type="spellEnd"/>
      <w:r w:rsidRPr="0080480C">
        <w:rPr>
          <w:b w:val="0"/>
          <w:bCs w:val="0"/>
          <w:sz w:val="22"/>
        </w:rPr>
        <w:t xml:space="preserve"> </w:t>
      </w:r>
      <w:proofErr w:type="spellStart"/>
      <w:r w:rsidRPr="0080480C">
        <w:rPr>
          <w:b w:val="0"/>
          <w:bCs w:val="0"/>
          <w:sz w:val="22"/>
        </w:rPr>
        <w:t>normatīvo</w:t>
      </w:r>
      <w:proofErr w:type="spellEnd"/>
      <w:r w:rsidRPr="0080480C">
        <w:rPr>
          <w:b w:val="0"/>
          <w:bCs w:val="0"/>
          <w:sz w:val="22"/>
        </w:rPr>
        <w:t xml:space="preserve"> </w:t>
      </w:r>
      <w:proofErr w:type="spellStart"/>
      <w:r w:rsidRPr="0080480C">
        <w:rPr>
          <w:b w:val="0"/>
          <w:bCs w:val="0"/>
          <w:sz w:val="22"/>
        </w:rPr>
        <w:t>aktu</w:t>
      </w:r>
      <w:proofErr w:type="spellEnd"/>
      <w:r w:rsidRPr="0080480C">
        <w:rPr>
          <w:b w:val="0"/>
          <w:bCs w:val="0"/>
          <w:sz w:val="22"/>
        </w:rPr>
        <w:t xml:space="preserve"> </w:t>
      </w:r>
      <w:proofErr w:type="spellStart"/>
      <w:r w:rsidRPr="0080480C">
        <w:rPr>
          <w:b w:val="0"/>
          <w:bCs w:val="0"/>
          <w:sz w:val="22"/>
        </w:rPr>
        <w:t>prasībām</w:t>
      </w:r>
      <w:proofErr w:type="spellEnd"/>
      <w:r w:rsidRPr="0080480C">
        <w:rPr>
          <w:b w:val="0"/>
          <w:bCs w:val="0"/>
          <w:sz w:val="22"/>
        </w:rPr>
        <w:t xml:space="preserve">, </w:t>
      </w:r>
      <w:proofErr w:type="spellStart"/>
      <w:r w:rsidRPr="0080480C">
        <w:rPr>
          <w:b w:val="0"/>
          <w:bCs w:val="0"/>
          <w:sz w:val="22"/>
        </w:rPr>
        <w:t>izsoles</w:t>
      </w:r>
      <w:proofErr w:type="spellEnd"/>
      <w:r w:rsidRPr="0080480C">
        <w:rPr>
          <w:b w:val="0"/>
          <w:bCs w:val="0"/>
          <w:sz w:val="22"/>
        </w:rPr>
        <w:t xml:space="preserve"> </w:t>
      </w:r>
      <w:proofErr w:type="spellStart"/>
      <w:r w:rsidRPr="0080480C">
        <w:rPr>
          <w:b w:val="0"/>
          <w:bCs w:val="0"/>
          <w:sz w:val="22"/>
        </w:rPr>
        <w:t>uzvarētājam</w:t>
      </w:r>
      <w:proofErr w:type="spellEnd"/>
      <w:r w:rsidRPr="0080480C">
        <w:rPr>
          <w:b w:val="0"/>
          <w:bCs w:val="0"/>
          <w:sz w:val="22"/>
        </w:rPr>
        <w:t xml:space="preserve">, </w:t>
      </w:r>
      <w:proofErr w:type="spellStart"/>
      <w:r w:rsidRPr="0080480C">
        <w:rPr>
          <w:b w:val="0"/>
          <w:bCs w:val="0"/>
          <w:sz w:val="22"/>
        </w:rPr>
        <w:t>ar</w:t>
      </w:r>
      <w:proofErr w:type="spellEnd"/>
      <w:r w:rsidRPr="0080480C">
        <w:rPr>
          <w:b w:val="0"/>
          <w:bCs w:val="0"/>
          <w:sz w:val="22"/>
        </w:rPr>
        <w:t xml:space="preserve"> kuru tiks slēgts līgums, jāsedz izdevumi, kas saistīti ar pieaicinātā sertificētā nekustamā īpašuma vērtētāja nomas maksas vērtējuma veikšanu.</w:t>
      </w:r>
    </w:p>
    <w:p w14:paraId="68885D94" w14:textId="77777777" w:rsidR="0080480C" w:rsidRPr="00760C71" w:rsidRDefault="0080480C" w:rsidP="0080480C">
      <w:pPr>
        <w:pStyle w:val="Nosaukums"/>
        <w:tabs>
          <w:tab w:val="left" w:pos="709"/>
        </w:tabs>
        <w:spacing w:after="120"/>
        <w:ind w:left="-142"/>
        <w:jc w:val="both"/>
        <w:rPr>
          <w:b w:val="0"/>
          <w:bCs w:val="0"/>
          <w:sz w:val="22"/>
          <w:szCs w:val="22"/>
          <w:lang w:val="lv-LV"/>
        </w:rPr>
      </w:pP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lastRenderedPageBreak/>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0A899D7D"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5C6B8765"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3" w:name="_Hlk171526599"/>
      <w:r w:rsidR="00500F8B" w:rsidRPr="0085360C">
        <w:rPr>
          <w:b w:val="0"/>
          <w:sz w:val="22"/>
          <w:szCs w:val="22"/>
          <w:lang w:val="lv-LV"/>
        </w:rPr>
        <w:t xml:space="preserve">rīkotājs </w:t>
      </w:r>
      <w:bookmarkEnd w:id="3"/>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Default="001C64C5">
      <w:pPr>
        <w:pStyle w:val="Apakvirsraksts"/>
        <w:jc w:val="both"/>
        <w:rPr>
          <w:b w:val="0"/>
          <w:bCs w:val="0"/>
          <w:sz w:val="22"/>
          <w:lang w:val="lv-LV"/>
        </w:rPr>
      </w:pPr>
    </w:p>
    <w:p w14:paraId="4A04E479" w14:textId="77777777" w:rsidR="0080480C" w:rsidRPr="0085360C" w:rsidRDefault="0080480C">
      <w:pPr>
        <w:pStyle w:val="Apakvirsraksts"/>
        <w:jc w:val="both"/>
        <w:rPr>
          <w:b w:val="0"/>
          <w:bCs w:val="0"/>
          <w:sz w:val="22"/>
          <w:lang w:val="lv-LV"/>
        </w:rPr>
      </w:pPr>
    </w:p>
    <w:p w14:paraId="60B138D5" w14:textId="77777777" w:rsidR="001C64C5" w:rsidRPr="001D7AFE" w:rsidRDefault="001C64C5" w:rsidP="001C64C5">
      <w:pPr>
        <w:pStyle w:val="Nosaukums"/>
        <w:numPr>
          <w:ilvl w:val="0"/>
          <w:numId w:val="30"/>
        </w:numPr>
        <w:ind w:left="426" w:hanging="426"/>
        <w:jc w:val="both"/>
        <w:outlineLvl w:val="0"/>
        <w:rPr>
          <w:bCs w:val="0"/>
          <w:sz w:val="22"/>
          <w:szCs w:val="22"/>
          <w:u w:val="single"/>
          <w:lang w:val="lv-LV" w:eastAsia="zh-CN"/>
        </w:rPr>
      </w:pPr>
      <w:r w:rsidRPr="001D7AFE">
        <w:rPr>
          <w:bCs w:val="0"/>
          <w:sz w:val="22"/>
          <w:szCs w:val="22"/>
          <w:u w:val="single"/>
          <w:lang w:val="lv-LV"/>
        </w:rPr>
        <w:lastRenderedPageBreak/>
        <w:t>Iz</w:t>
      </w:r>
      <w:r w:rsidRPr="001D7AFE">
        <w:rPr>
          <w:sz w:val="22"/>
          <w:szCs w:val="22"/>
          <w:u w:val="single"/>
          <w:lang w:val="lv-LV"/>
        </w:rPr>
        <w:t>soles norise</w:t>
      </w:r>
    </w:p>
    <w:p w14:paraId="09DE27F0" w14:textId="3BF47539" w:rsidR="001C64C5" w:rsidRPr="001D7AFE" w:rsidRDefault="001C64C5" w:rsidP="001C64C5">
      <w:pPr>
        <w:pStyle w:val="Nosaukums"/>
        <w:numPr>
          <w:ilvl w:val="1"/>
          <w:numId w:val="30"/>
        </w:numPr>
        <w:ind w:left="426" w:hanging="426"/>
        <w:jc w:val="both"/>
        <w:rPr>
          <w:bCs w:val="0"/>
          <w:sz w:val="22"/>
          <w:szCs w:val="22"/>
          <w:lang w:val="lv-LV"/>
        </w:rPr>
      </w:pPr>
      <w:r w:rsidRPr="001D7AFE">
        <w:rPr>
          <w:b w:val="0"/>
          <w:sz w:val="22"/>
          <w:szCs w:val="22"/>
          <w:lang w:val="lv-LV"/>
        </w:rPr>
        <w:t xml:space="preserve">Izsole </w:t>
      </w:r>
      <w:r w:rsidR="00F65D4F" w:rsidRPr="001D7AFE">
        <w:rPr>
          <w:b w:val="0"/>
          <w:sz w:val="22"/>
          <w:szCs w:val="22"/>
          <w:lang w:val="lv-LV"/>
        </w:rPr>
        <w:t xml:space="preserve">elektronisko izsoļu vietnē </w:t>
      </w:r>
      <w:hyperlink r:id="rId20" w:history="1">
        <w:r w:rsidR="00F65D4F" w:rsidRPr="001D7AFE">
          <w:rPr>
            <w:rStyle w:val="Hipersaite"/>
            <w:b w:val="0"/>
            <w:sz w:val="22"/>
            <w:szCs w:val="22"/>
            <w:lang w:val="lv-LV"/>
          </w:rPr>
          <w:t>https://izsoles.ta.gov.lv</w:t>
        </w:r>
      </w:hyperlink>
      <w:r w:rsidR="00F65D4F" w:rsidRPr="001D7AFE">
        <w:rPr>
          <w:bCs w:val="0"/>
          <w:sz w:val="22"/>
          <w:szCs w:val="22"/>
          <w:lang w:val="lv-LV"/>
        </w:rPr>
        <w:t xml:space="preserve"> sākas 202</w:t>
      </w:r>
      <w:r w:rsidR="00F06A8E" w:rsidRPr="001D7AFE">
        <w:rPr>
          <w:bCs w:val="0"/>
          <w:sz w:val="22"/>
          <w:szCs w:val="22"/>
          <w:lang w:val="lv-LV"/>
        </w:rPr>
        <w:t>5</w:t>
      </w:r>
      <w:r w:rsidR="00F65D4F" w:rsidRPr="001D7AFE">
        <w:rPr>
          <w:bCs w:val="0"/>
          <w:sz w:val="22"/>
          <w:szCs w:val="22"/>
          <w:lang w:val="lv-LV"/>
        </w:rPr>
        <w:t xml:space="preserve">.gada </w:t>
      </w:r>
      <w:r w:rsidR="0080480C">
        <w:rPr>
          <w:bCs w:val="0"/>
          <w:sz w:val="22"/>
          <w:szCs w:val="22"/>
          <w:lang w:val="lv-LV"/>
        </w:rPr>
        <w:t>19</w:t>
      </w:r>
      <w:r w:rsidR="00F65D4F" w:rsidRPr="001D7AFE">
        <w:rPr>
          <w:bCs w:val="0"/>
          <w:sz w:val="22"/>
          <w:szCs w:val="22"/>
          <w:lang w:val="lv-LV"/>
        </w:rPr>
        <w:t>.</w:t>
      </w:r>
      <w:r w:rsidR="0030477D" w:rsidRPr="001D7AFE">
        <w:rPr>
          <w:bCs w:val="0"/>
          <w:sz w:val="22"/>
          <w:szCs w:val="22"/>
          <w:lang w:val="lv-LV"/>
        </w:rPr>
        <w:t>marta</w:t>
      </w:r>
      <w:r w:rsidR="00F65D4F" w:rsidRPr="001D7AFE">
        <w:rPr>
          <w:bCs w:val="0"/>
          <w:sz w:val="22"/>
          <w:szCs w:val="22"/>
          <w:lang w:val="lv-LV"/>
        </w:rPr>
        <w:t xml:space="preserve"> plkst. 13.00 un noslēdzas 202</w:t>
      </w:r>
      <w:r w:rsidR="00F06A8E" w:rsidRPr="001D7AFE">
        <w:rPr>
          <w:bCs w:val="0"/>
          <w:sz w:val="22"/>
          <w:szCs w:val="22"/>
          <w:lang w:val="lv-LV"/>
        </w:rPr>
        <w:t>5</w:t>
      </w:r>
      <w:r w:rsidR="00F65D4F" w:rsidRPr="001D7AFE">
        <w:rPr>
          <w:bCs w:val="0"/>
          <w:sz w:val="22"/>
          <w:szCs w:val="22"/>
          <w:lang w:val="lv-LV"/>
        </w:rPr>
        <w:t xml:space="preserve">.gada </w:t>
      </w:r>
      <w:r w:rsidR="0080480C">
        <w:rPr>
          <w:bCs w:val="0"/>
          <w:sz w:val="22"/>
          <w:szCs w:val="22"/>
          <w:lang w:val="lv-LV"/>
        </w:rPr>
        <w:t>22</w:t>
      </w:r>
      <w:r w:rsidR="00F65D4F" w:rsidRPr="001D7AFE">
        <w:rPr>
          <w:bCs w:val="0"/>
          <w:sz w:val="22"/>
          <w:szCs w:val="22"/>
          <w:lang w:val="lv-LV"/>
        </w:rPr>
        <w:t>.</w:t>
      </w:r>
      <w:r w:rsidR="00C07F79" w:rsidRPr="001D7AFE">
        <w:rPr>
          <w:bCs w:val="0"/>
          <w:sz w:val="22"/>
          <w:szCs w:val="22"/>
          <w:lang w:val="lv-LV"/>
        </w:rPr>
        <w:t>aprīļa</w:t>
      </w:r>
      <w:r w:rsidR="00F65D4F" w:rsidRPr="001D7AFE">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4" w:name="_Hlk171528446"/>
      <w:r w:rsidRPr="00B52517">
        <w:rPr>
          <w:b w:val="0"/>
          <w:sz w:val="22"/>
          <w:szCs w:val="22"/>
          <w:lang w:val="lv-LV"/>
        </w:rPr>
        <w:t xml:space="preserve">LVM </w:t>
      </w:r>
      <w:bookmarkEnd w:id="4"/>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lastRenderedPageBreak/>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E7D00"/>
    <w:rsid w:val="001F1071"/>
    <w:rsid w:val="001F1089"/>
    <w:rsid w:val="001F28D2"/>
    <w:rsid w:val="001F393B"/>
    <w:rsid w:val="001F4A3A"/>
    <w:rsid w:val="002003D3"/>
    <w:rsid w:val="002004EA"/>
    <w:rsid w:val="00206F80"/>
    <w:rsid w:val="002074F0"/>
    <w:rsid w:val="00210B14"/>
    <w:rsid w:val="00210F48"/>
    <w:rsid w:val="002110B6"/>
    <w:rsid w:val="002114B7"/>
    <w:rsid w:val="00213747"/>
    <w:rsid w:val="00224904"/>
    <w:rsid w:val="00226BCD"/>
    <w:rsid w:val="00230B91"/>
    <w:rsid w:val="0023362D"/>
    <w:rsid w:val="00236854"/>
    <w:rsid w:val="00237EBD"/>
    <w:rsid w:val="00237F6F"/>
    <w:rsid w:val="002400D2"/>
    <w:rsid w:val="0024298A"/>
    <w:rsid w:val="0025190D"/>
    <w:rsid w:val="00251AB5"/>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1D4"/>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51FBF"/>
    <w:rsid w:val="00552878"/>
    <w:rsid w:val="005529CA"/>
    <w:rsid w:val="00554EEE"/>
    <w:rsid w:val="00555150"/>
    <w:rsid w:val="00557279"/>
    <w:rsid w:val="00557749"/>
    <w:rsid w:val="005578F2"/>
    <w:rsid w:val="005621DF"/>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0C7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480C"/>
    <w:rsid w:val="00805E23"/>
    <w:rsid w:val="00807DFF"/>
    <w:rsid w:val="00811641"/>
    <w:rsid w:val="0081192F"/>
    <w:rsid w:val="0081287E"/>
    <w:rsid w:val="008129A6"/>
    <w:rsid w:val="00812A75"/>
    <w:rsid w:val="00816EDD"/>
    <w:rsid w:val="0081754C"/>
    <w:rsid w:val="00827448"/>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B0D74"/>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406"/>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77EBB"/>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37BB"/>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5C16"/>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5384"/>
    <w:rsid w:val="00EF5B92"/>
    <w:rsid w:val="00EF5DAC"/>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CA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irvic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6</Pages>
  <Words>2494</Words>
  <Characters>18066</Characters>
  <Application>Microsoft Office Word</Application>
  <DocSecurity>0</DocSecurity>
  <Lines>150</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20519</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36</cp:revision>
  <cp:lastPrinted>2019-05-09T11:40:00Z</cp:lastPrinted>
  <dcterms:created xsi:type="dcterms:W3CDTF">2025-01-22T11:05:00Z</dcterms:created>
  <dcterms:modified xsi:type="dcterms:W3CDTF">2025-03-18T15:12:00Z</dcterms:modified>
  <cp:contentStatus/>
</cp:coreProperties>
</file>