
<file path=[Content_Types].xml><?xml version="1.0" encoding="utf-8"?>
<Types xmlns="http://schemas.openxmlformats.org/package/2006/content-types">
  <Default Extension="xml" ContentType="application/xml"/>
  <Default Extension="rels" ContentType="application/vnd.openxmlformats-package.relationships+xml"/>
  <Override PartName="/word/numbering.xml" ContentType="application/vnd.openxmlformats-officedocument.wordprocessingml.numbering+xml"/>
  <Override PartName="/word/settings.xml" ContentType="application/vnd.openxmlformats-officedocument.wordprocessingml.settings+xml"/>
  <Override PartName="/word/webSettings.xml" ContentType="application/vnd.openxmlformats-officedocument.wordprocessingml.webSettings+xml"/>
  <Override PartName="/word/document.xml" ContentType="application/vnd.openxmlformats-officedocument.wordprocessingml.document.main+xml"/>
  <Override PartName="/word/endnotes.xml" ContentType="application/vnd.openxmlformats-officedocument.wordprocessingml.endnotes+xml"/>
  <Override PartName="/word/styles.xml" ContentType="application/vnd.openxmlformats-officedocument.wordprocessingml.styles+xml"/>
  <Override PartName="/word/footnotes.xml" ContentType="application/vnd.openxmlformats-officedocument.wordprocessingml.foot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body>
    <w:p w14:paraId="00000005">
      <w:pPr>
        <w:tabs>
          <w:tab w:val="left" w:pos="8080"/>
        </w:tabs>
        <w:spacing w:after="0"/>
        <w:jc w:val="right"/>
        <w:rPr>
          <w:rFonts w:ascii="Times New Roman" w:cs="Times New Roman" w:eastAsia="Times New Roman" w:hAnsi="Times New Roman"/>
          <w:sz w:val="20"/>
          <w:szCs w:val="20"/>
        </w:rPr>
      </w:pPr>
      <w:r>
        <w:rPr>
          <w:rFonts w:ascii="Times New Roman" w:cs="Times New Roman" w:eastAsia="Times New Roman" w:hAnsi="Times New Roman"/>
          <w:sz w:val="20"/>
          <w:szCs w:val="20"/>
        </w:rPr>
        <w:t>APSTIPRINĀTS</w:t>
      </w:r>
    </w:p>
    <w:p w14:paraId="00000006">
      <w:pPr>
        <w:spacing w:after="0"/>
        <w:jc w:val="right"/>
        <w:rPr>
          <w:rFonts w:ascii="Times New Roman" w:cs="Times New Roman" w:eastAsia="Times New Roman" w:hAnsi="Times New Roman"/>
          <w:sz w:val="20"/>
          <w:szCs w:val="20"/>
        </w:rPr>
      </w:pPr>
      <w:r>
        <w:rPr>
          <w:rFonts w:ascii="Times New Roman" w:cs="Times New Roman" w:eastAsia="Times New Roman" w:hAnsi="Times New Roman"/>
          <w:sz w:val="20"/>
          <w:szCs w:val="20"/>
        </w:rPr>
        <w:t>SIA  “</w:t>
      </w:r>
      <w:r>
        <w:rPr>
          <w:rFonts w:ascii="Times New Roman" w:cs="Times New Roman" w:eastAsia="Times New Roman" w:hAnsi="Times New Roman"/>
          <w:color w:val="000000"/>
        </w:rPr>
        <w:t>Latvijas Nacionālais sporta centrs”</w:t>
      </w:r>
    </w:p>
    <w:p w14:paraId="00000007">
      <w:pPr>
        <w:spacing w:after="0"/>
        <w:jc w:val="right"/>
        <w:rPr>
          <w:rFonts w:ascii="Times New Roman" w:cs="Times New Roman" w:eastAsia="Times New Roman" w:hAnsi="Times New Roman"/>
          <w:sz w:val="20"/>
          <w:szCs w:val="20"/>
        </w:rPr>
      </w:pPr>
      <w:r>
        <w:rPr>
          <w:rFonts w:ascii="Times New Roman" w:cs="Times New Roman" w:eastAsia="Times New Roman" w:hAnsi="Times New Roman"/>
          <w:sz w:val="20"/>
          <w:szCs w:val="20"/>
        </w:rPr>
        <w:t>Nekustamā īpašuma komisijas 2025.gada 28</w:t>
      </w:r>
      <w:r>
        <w:rPr>
          <w:rFonts w:ascii="Times New Roman" w:cs="Times New Roman" w:eastAsia="Times New Roman" w:hAnsi="Times New Roman"/>
          <w:sz w:val="20"/>
          <w:szCs w:val="20"/>
        </w:rPr>
        <w:t>. marta</w:t>
      </w:r>
      <w:r>
        <w:rPr>
          <w:rFonts w:ascii="Times New Roman" w:cs="Times New Roman" w:eastAsia="Times New Roman" w:hAnsi="Times New Roman"/>
          <w:sz w:val="20"/>
          <w:szCs w:val="20"/>
        </w:rPr>
        <w:t xml:space="preserve"> sēdē</w:t>
      </w:r>
    </w:p>
    <w:p w14:paraId="00000008">
      <w:pPr>
        <w:spacing w:after="0"/>
        <w:jc w:val="right"/>
        <w:rPr>
          <w:rFonts w:ascii="Times New Roman" w:cs="Times New Roman" w:eastAsia="Times New Roman" w:hAnsi="Times New Roman"/>
          <w:sz w:val="20"/>
          <w:szCs w:val="20"/>
          <w:shd w:val="clear" w:color="auto" w:fill="efefef"/>
        </w:rPr>
      </w:pPr>
      <w:r>
        <w:rPr>
          <w:rFonts w:ascii="Times New Roman" w:cs="Times New Roman" w:eastAsia="Times New Roman" w:hAnsi="Times New Roman"/>
          <w:sz w:val="20"/>
          <w:szCs w:val="20"/>
        </w:rPr>
        <w:t>Protokols Nr.1-17.1/21</w:t>
      </w:r>
    </w:p>
    <w:p w14:paraId="00000009">
      <w:pPr>
        <w:spacing w:after="0"/>
        <w:jc w:val="right"/>
        <w:rPr>
          <w:rFonts w:ascii="Times New Roman" w:cs="Times New Roman" w:eastAsia="Times New Roman" w:hAnsi="Times New Roman"/>
        </w:rPr>
      </w:pPr>
    </w:p>
    <w:p w14:paraId="0000000A">
      <w:pPr>
        <w:spacing w:after="0"/>
        <w:jc w:val="right"/>
        <w:rPr>
          <w:rFonts w:ascii="Times New Roman" w:cs="Times New Roman" w:eastAsia="Times New Roman" w:hAnsi="Times New Roman"/>
        </w:rPr>
      </w:pPr>
    </w:p>
    <w:p w14:paraId="0000000B">
      <w:pPr>
        <w:spacing w:after="0"/>
        <w:jc w:val="center"/>
        <w:rPr>
          <w:rFonts w:ascii="Times New Roman" w:cs="Times New Roman" w:eastAsia="Times New Roman" w:hAnsi="Times New Roman"/>
          <w:b/>
        </w:rPr>
      </w:pPr>
      <w:r>
        <w:rPr>
          <w:rFonts w:ascii="Times New Roman" w:cs="Times New Roman" w:eastAsia="Times New Roman" w:hAnsi="Times New Roman"/>
          <w:b/>
        </w:rPr>
        <w:t>NOMAS TIESĪBU RAKSTISKAS IZSOLES NOLIKUMS</w:t>
      </w:r>
    </w:p>
    <w:p w14:paraId="0000000C">
      <w:pPr>
        <w:spacing w:after="0"/>
        <w:jc w:val="center"/>
        <w:rPr>
          <w:rFonts w:ascii="Times New Roman" w:cs="Times New Roman" w:eastAsia="Times New Roman" w:hAnsi="Times New Roman"/>
          <w:sz w:val="23"/>
          <w:szCs w:val="23"/>
        </w:rPr>
      </w:pPr>
      <w:r>
        <w:rPr>
          <w:rFonts w:ascii="Times New Roman" w:cs="Times New Roman" w:eastAsia="Times New Roman" w:hAnsi="Times New Roman"/>
        </w:rPr>
        <w:t>Nedzīvojamās telpas Nr.</w:t>
      </w:r>
      <w:r>
        <w:rPr>
          <w:rFonts w:ascii="Times New Roman" w:cs="Times New Roman" w:eastAsia="Times New Roman" w:hAnsi="Times New Roman"/>
        </w:rPr>
        <w:t>22</w:t>
      </w:r>
      <w:r>
        <w:rPr>
          <w:rFonts w:ascii="Times New Roman" w:cs="Times New Roman" w:eastAsia="Times New Roman" w:hAnsi="Times New Roman"/>
        </w:rPr>
        <w:t xml:space="preserve"> noma, kas atrodas Šveices ielā 13</w:t>
      </w:r>
      <w:r>
        <w:rPr>
          <w:rFonts w:ascii="Times New Roman" w:cs="Times New Roman" w:eastAsia="Times New Roman" w:hAnsi="Times New Roman"/>
        </w:rPr>
        <w:t>, Siguldā</w:t>
      </w:r>
    </w:p>
    <w:p w14:paraId="0000000D">
      <w:pPr>
        <w:spacing w:after="0"/>
        <w:jc w:val="center"/>
        <w:rPr>
          <w:rFonts w:ascii="Times New Roman" w:cs="Times New Roman" w:eastAsia="Times New Roman" w:hAnsi="Times New Roman"/>
          <w:sz w:val="23"/>
          <w:szCs w:val="23"/>
        </w:rPr>
      </w:pPr>
      <w:r>
        <w:rPr>
          <w:rFonts w:ascii="Times New Roman" w:cs="Times New Roman" w:eastAsia="Times New Roman" w:hAnsi="Times New Roman"/>
          <w:sz w:val="23"/>
          <w:szCs w:val="23"/>
        </w:rPr>
        <w:t xml:space="preserve"> ar kopējo platību 17,5</w:t>
      </w:r>
      <w:r>
        <w:rPr>
          <w:rFonts w:ascii="Times New Roman" w:cs="Times New Roman" w:eastAsia="Times New Roman" w:hAnsi="Times New Roman"/>
          <w:sz w:val="23"/>
          <w:szCs w:val="23"/>
        </w:rPr>
        <w:t xml:space="preserve"> m</w:t>
      </w:r>
      <w:r>
        <w:rPr>
          <w:rFonts w:ascii="Times New Roman" w:cs="Times New Roman" w:eastAsia="Times New Roman" w:hAnsi="Times New Roman"/>
          <w:sz w:val="23"/>
          <w:szCs w:val="23"/>
          <w:vertAlign w:val="superscript"/>
        </w:rPr>
        <w:t>2</w:t>
      </w:r>
    </w:p>
    <w:p w14:paraId="0000000E">
      <w:pPr>
        <w:spacing w:after="0"/>
        <w:jc w:val="center"/>
        <w:rPr>
          <w:rFonts w:ascii="Times New Roman" w:cs="Times New Roman" w:eastAsia="Times New Roman" w:hAnsi="Times New Roman"/>
          <w:shd w:val="clear" w:color="auto" w:fill="efefef"/>
        </w:rPr>
      </w:pPr>
      <w:r>
        <w:rPr>
          <w:rFonts w:ascii="Times New Roman" w:cs="Times New Roman" w:eastAsia="Times New Roman" w:hAnsi="Times New Roman"/>
        </w:rPr>
        <w:t>Izsoles identifikācijas Nr. 1-17.2/29</w:t>
      </w:r>
    </w:p>
    <w:p w14:paraId="0000000F">
      <w:pPr>
        <w:spacing w:after="0"/>
        <w:jc w:val="center"/>
        <w:rPr>
          <w:rFonts w:ascii="Times New Roman" w:cs="Times New Roman" w:eastAsia="Times New Roman" w:hAnsi="Times New Roman"/>
        </w:rPr>
      </w:pPr>
    </w:p>
    <w:p w14:paraId="00000010">
      <w:pPr>
        <w:numPr>
          <w:ilvl w:val="0"/>
          <w:numId w:val="2"/>
        </w:numPr>
        <w:pBdr>
          <w:top w:val="nil" w:sz="4" w:space="0"/>
          <w:left w:val="nil" w:sz="4" w:space="0"/>
          <w:bottom w:val="nil" w:sz="4" w:space="0"/>
          <w:right w:val="nil" w:sz="4" w:space="0"/>
          <w:between w:val="nil" w:sz="4" w:space="0"/>
        </w:pBdr>
        <w:spacing w:after="0"/>
        <w:jc w:val="both"/>
        <w:rPr>
          <w:rFonts w:ascii="Times New Roman" w:cs="Times New Roman" w:eastAsia="Times New Roman" w:hAnsi="Times New Roman"/>
          <w:b/>
          <w:color w:val="000000"/>
        </w:rPr>
      </w:pPr>
      <w:r>
        <w:rPr>
          <w:rFonts w:ascii="Times New Roman" w:cs="Times New Roman" w:eastAsia="Times New Roman" w:hAnsi="Times New Roman"/>
          <w:b/>
          <w:color w:val="000000"/>
        </w:rPr>
        <w:t>Vispārīgie noteikumi</w:t>
      </w:r>
    </w:p>
    <w:p w14:paraId="00000011">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color w:val="000000"/>
        </w:rPr>
      </w:pPr>
      <w:bookmarkStart w:id="0" w:name="_heading=h.3znysh7"/>
      <w:bookmarkEnd w:id="0"/>
      <w:r>
        <w:rPr>
          <w:rFonts w:ascii="Times New Roman" w:cs="Times New Roman" w:eastAsia="Times New Roman" w:hAnsi="Times New Roman"/>
          <w:b/>
          <w:color w:val="000000"/>
        </w:rPr>
        <w:t>I</w:t>
      </w:r>
      <w:r>
        <w:rPr>
          <w:rFonts w:ascii="Times New Roman" w:cs="Times New Roman" w:eastAsia="Times New Roman" w:hAnsi="Times New Roman"/>
          <w:b/>
          <w:color w:val="000000"/>
        </w:rPr>
        <w:t>znomātājs: S</w:t>
      </w:r>
      <w:r>
        <w:rPr>
          <w:rFonts w:ascii="Times New Roman" w:cs="Times New Roman" w:eastAsia="Times New Roman" w:hAnsi="Times New Roman"/>
          <w:color w:val="000000"/>
        </w:rPr>
        <w:t xml:space="preserve">abiedrība ar ierobežotu atbildību “Latvijas Nacionālais sporta centrs” (turpmāk – Sabiedrība), reģistrācijas Nr.50003140671, juridiskā adrese: </w:t>
      </w:r>
      <w:r>
        <w:rPr>
          <w:rFonts w:ascii="Times New Roman" w:cs="Times New Roman" w:eastAsia="Times New Roman" w:hAnsi="Times New Roman"/>
          <w:color w:val="000000"/>
        </w:rPr>
        <w:t>Augšiela</w:t>
      </w:r>
      <w:r>
        <w:rPr>
          <w:rFonts w:ascii="Times New Roman" w:cs="Times New Roman" w:eastAsia="Times New Roman" w:hAnsi="Times New Roman"/>
          <w:color w:val="000000"/>
        </w:rPr>
        <w:t xml:space="preserve"> 1, Rīga, LV-1009.</w:t>
      </w:r>
    </w:p>
    <w:p w14:paraId="00000012">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color w:val="000000"/>
        </w:rPr>
      </w:pPr>
      <w:r>
        <w:rPr>
          <w:rFonts w:ascii="Times New Roman" w:cs="Times New Roman" w:eastAsia="Times New Roman" w:hAnsi="Times New Roman"/>
          <w:b/>
          <w:color w:val="000000"/>
        </w:rPr>
        <w:t>Izsoli organizē:</w:t>
      </w:r>
      <w:r>
        <w:rPr>
          <w:rFonts w:ascii="Times New Roman" w:cs="Times New Roman" w:eastAsia="Times New Roman" w:hAnsi="Times New Roman"/>
          <w:color w:val="000000"/>
        </w:rPr>
        <w:t xml:space="preserve"> Sabiedrības Nekustamā īpašuma un inventāra iznomāšanas komisija (turpmāk – Komisija), kas izveidota saskaņā ar Sabiedrības valdes </w:t>
      </w:r>
      <w:r>
        <w:rPr>
          <w:rFonts w:ascii="Times New Roman" w:cs="Times New Roman" w:eastAsia="Times New Roman" w:hAnsi="Times New Roman"/>
          <w:color w:val="222222"/>
          <w:shd w:val="clear" w:color="auto" w:fill="ffffff"/>
        </w:rPr>
        <w:t>2024.gada 3.oktobra rīkojumu Nr.1-3/LNSC/24</w:t>
      </w:r>
      <w:r>
        <w:rPr>
          <w:rFonts w:ascii="Times New Roman" w:cs="Times New Roman" w:eastAsia="Times New Roman" w:hAnsi="Times New Roman"/>
          <w:color w:val="000000"/>
        </w:rPr>
        <w:t>.</w:t>
      </w:r>
    </w:p>
    <w:p w14:paraId="00000013">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color w:val="000000"/>
        </w:rPr>
      </w:pPr>
      <w:r>
        <w:rPr>
          <w:rFonts w:ascii="Times New Roman" w:cs="Times New Roman" w:eastAsia="Times New Roman" w:hAnsi="Times New Roman"/>
          <w:color w:val="000000"/>
        </w:rPr>
        <w:t xml:space="preserve">Nomas tiesību rakstveida izsoles nolikums </w:t>
      </w:r>
      <w:r>
        <w:rPr>
          <w:rFonts w:ascii="Times New Roman" w:cs="Times New Roman" w:eastAsia="Times New Roman" w:hAnsi="Times New Roman"/>
        </w:rPr>
        <w:t>(turpmāk – Nolikums) ir sagatavots saskaņā ar Sabiedrības 2020.gada 28.oktobra iekšējiem noteikumiem “Nekustamā īpašuma iznomāšanas un nomāšanas kārtība”, kā arī ievērojot Publiskas personas finanšu līdzekļu un mantas izšķērdēšanas novēršanas likumu.</w:t>
      </w:r>
    </w:p>
    <w:p w14:paraId="00000014">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color w:val="000000"/>
        </w:rPr>
      </w:pPr>
      <w:r>
        <w:rPr>
          <w:rFonts w:ascii="Times New Roman" w:cs="Times New Roman" w:eastAsia="Times New Roman" w:hAnsi="Times New Roman"/>
          <w:b/>
          <w:color w:val="000000"/>
        </w:rPr>
        <w:t xml:space="preserve">Izsoles veids: </w:t>
      </w:r>
      <w:r>
        <w:rPr>
          <w:rFonts w:ascii="Times New Roman" w:cs="Times New Roman" w:eastAsia="Times New Roman" w:hAnsi="Times New Roman"/>
          <w:b w:val="off"/>
          <w:bCs w:val="off"/>
          <w:color w:val="000000"/>
        </w:rPr>
        <w:t>atkārtota</w:t>
      </w:r>
      <w:r>
        <w:rPr>
          <w:rFonts w:ascii="Times New Roman" w:cs="Times New Roman" w:eastAsia="Times New Roman" w:hAnsi="Times New Roman"/>
          <w:color w:val="000000"/>
        </w:rPr>
        <w:t xml:space="preserve"> izsole, rakstiska izsole ar augšupejošu soli.</w:t>
      </w:r>
    </w:p>
    <w:p w14:paraId="00000015">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color w:val="000000"/>
        </w:rPr>
      </w:pPr>
      <w:r>
        <w:rPr>
          <w:rFonts w:ascii="Times New Roman" w:cs="Times New Roman" w:eastAsia="Times New Roman" w:hAnsi="Times New Roman"/>
          <w:b/>
          <w:color w:val="000000"/>
        </w:rPr>
        <w:t>Izsoles identifikācijas Nr.: 1-17.2/29</w:t>
      </w:r>
    </w:p>
    <w:p w14:paraId="00000016">
      <w:pPr>
        <w:numPr>
          <w:ilvl w:val="1"/>
          <w:numId w:val="4"/>
        </w:numPr>
        <w:pBdr>
          <w:top w:val="nil" w:sz="4" w:space="0"/>
          <w:left w:val="nil" w:sz="4" w:space="0"/>
          <w:bottom w:val="nil" w:sz="4" w:space="0"/>
          <w:right w:val="nil" w:sz="4" w:space="0"/>
          <w:between w:val="nil" w:sz="4" w:space="0"/>
        </w:pBdr>
        <w:spacing w:after="0"/>
        <w:ind w:left="426" w:hanging="426"/>
        <w:rPr>
          <w:rFonts w:ascii="Times New Roman" w:cs="Times New Roman" w:eastAsia="Times New Roman" w:hAnsi="Times New Roman"/>
          <w:color w:val="000000"/>
        </w:rPr>
      </w:pPr>
      <w:bookmarkStart w:id="1" w:name="_heading=h.gjdgxs"/>
      <w:bookmarkEnd w:id="1"/>
      <w:r>
        <w:rPr>
          <w:rFonts w:ascii="Times New Roman" w:cs="Times New Roman" w:eastAsia="Times New Roman" w:hAnsi="Times New Roman"/>
          <w:b/>
          <w:color w:val="000000"/>
        </w:rPr>
        <w:t>K</w:t>
      </w:r>
      <w:r>
        <w:rPr>
          <w:rFonts w:ascii="Times New Roman" w:cs="Times New Roman" w:eastAsia="Times New Roman" w:hAnsi="Times New Roman"/>
          <w:b/>
          <w:color w:val="000000"/>
        </w:rPr>
        <w:t>ontaktpersona: Arnis Mileiko</w:t>
      </w:r>
      <w:r>
        <w:rPr>
          <w:rFonts w:ascii="Times New Roman" w:cs="Times New Roman" w:eastAsia="Times New Roman" w:hAnsi="Times New Roman"/>
          <w:color w:val="000000"/>
        </w:rPr>
        <w:t>, tel.nr. 29343991, e-pasts: arnis.mileiko@lnsc.l</w:t>
      </w:r>
      <w:r>
        <w:rPr>
          <w:rFonts w:ascii="Times New Roman" w:cs="Times New Roman" w:eastAsia="Times New Roman" w:hAnsi="Times New Roman"/>
        </w:rPr>
        <w:t>v</w:t>
      </w:r>
    </w:p>
    <w:p w14:paraId="00000017">
      <w:pPr>
        <w:spacing w:after="0"/>
        <w:jc w:val="both"/>
        <w:rPr>
          <w:rFonts w:ascii="Times New Roman" w:cs="Times New Roman" w:eastAsia="Times New Roman" w:hAnsi="Times New Roman"/>
        </w:rPr>
      </w:pPr>
      <w:r>
        <w:rPr>
          <w:rFonts w:ascii="Times New Roman" w:cs="Times New Roman" w:eastAsia="Times New Roman" w:hAnsi="Times New Roman"/>
        </w:rPr>
        <w:t xml:space="preserve">     </w:t>
      </w:r>
    </w:p>
    <w:p w14:paraId="00000018">
      <w:pPr>
        <w:numPr>
          <w:ilvl w:val="0"/>
          <w:numId w:val="4"/>
        </w:numPr>
        <w:pBdr>
          <w:top w:val="nil" w:sz="4" w:space="0"/>
          <w:left w:val="nil" w:sz="4" w:space="0"/>
          <w:bottom w:val="nil" w:sz="4" w:space="0"/>
          <w:right w:val="nil" w:sz="4" w:space="0"/>
          <w:between w:val="nil" w:sz="4" w:space="0"/>
        </w:pBdr>
        <w:spacing w:after="0"/>
        <w:jc w:val="center"/>
        <w:rPr>
          <w:rFonts w:ascii="Times New Roman" w:cs="Times New Roman" w:eastAsia="Times New Roman" w:hAnsi="Times New Roman"/>
          <w:b/>
          <w:color w:val="000000"/>
        </w:rPr>
      </w:pPr>
      <w:r>
        <w:rPr>
          <w:rFonts w:ascii="Times New Roman" w:cs="Times New Roman" w:eastAsia="Times New Roman" w:hAnsi="Times New Roman"/>
          <w:b/>
          <w:color w:val="000000"/>
        </w:rPr>
        <w:t>Izsoles objekts</w:t>
      </w:r>
    </w:p>
    <w:p w14:paraId="00000019">
      <w:pPr>
        <w:numPr>
          <w:ilvl w:val="1"/>
          <w:numId w:val="4"/>
        </w:numPr>
        <w:pBdr>
          <w:top w:val="nil" w:sz="4" w:space="0"/>
          <w:left w:val="nil" w:sz="4" w:space="0"/>
          <w:bottom w:val="nil" w:sz="4" w:space="0"/>
          <w:right w:val="nil" w:sz="4" w:space="0"/>
          <w:between w:val="nil" w:sz="4" w:space="0"/>
        </w:pBdr>
        <w:shd w:val="clear" w:color="auto" w:fill="ffffff"/>
        <w:spacing w:after="0"/>
        <w:ind w:left="426" w:hanging="426"/>
        <w:jc w:val="both"/>
        <w:rPr>
          <w:rFonts w:ascii="Times" w:cs="Times" w:eastAsia="Times" w:hAnsi="Times"/>
          <w:b/>
        </w:rPr>
      </w:pPr>
      <w:r>
        <w:rPr>
          <w:rFonts w:ascii="Times New Roman" w:cs="Times New Roman" w:eastAsia="Times New Roman" w:hAnsi="Times New Roman"/>
          <w:b/>
          <w:color w:val="000000"/>
        </w:rPr>
        <w:t xml:space="preserve">Izsoles objekts: </w:t>
      </w:r>
      <w:r>
        <w:rPr>
          <w:rFonts w:ascii="Times New Roman" w:cs="Times New Roman" w:eastAsia="Times New Roman" w:hAnsi="Times New Roman"/>
          <w:color w:val="000000"/>
        </w:rPr>
        <w:t>nomas tiesības uz nedzīvojamo telpu Nr.</w:t>
      </w:r>
      <w:r>
        <w:rPr>
          <w:rFonts w:ascii="Times New Roman" w:cs="Times New Roman" w:eastAsia="Times New Roman" w:hAnsi="Times New Roman"/>
          <w:color w:val="000000"/>
        </w:rPr>
        <w:t>22</w:t>
      </w:r>
      <w:r>
        <w:rPr>
          <w:rFonts w:ascii="Times New Roman" w:cs="Times New Roman" w:eastAsia="Times New Roman" w:hAnsi="Times New Roman"/>
          <w:color w:val="000000"/>
        </w:rPr>
        <w:t xml:space="preserve"> ar kopējo platību 17,5</w:t>
      </w:r>
      <w:r>
        <w:rPr>
          <w:rFonts w:ascii="Times New Roman" w:cs="Times New Roman" w:eastAsia="Times New Roman" w:hAnsi="Times New Roman"/>
          <w:b/>
        </w:rPr>
        <w:t xml:space="preserve"> </w:t>
      </w:r>
      <w:r>
        <w:rPr>
          <w:rFonts w:ascii="Times New Roman" w:cs="Times New Roman" w:eastAsia="Times New Roman" w:hAnsi="Times New Roman"/>
          <w:color w:val="000000"/>
        </w:rPr>
        <w:t>m</w:t>
      </w:r>
      <w:r>
        <w:rPr>
          <w:rFonts w:ascii="Times New Roman" w:cs="Times New Roman" w:eastAsia="Times New Roman" w:hAnsi="Times New Roman"/>
          <w:color w:val="000000"/>
          <w:vertAlign w:val="superscript"/>
        </w:rPr>
        <w:t xml:space="preserve">2 </w:t>
      </w:r>
      <w:r>
        <w:rPr>
          <w:rFonts w:ascii="Times New Roman" w:cs="Times New Roman" w:eastAsia="Times New Roman" w:hAnsi="Times New Roman"/>
          <w:color w:val="000000"/>
          <w:vertAlign w:val="baseline"/>
        </w:rPr>
        <w:t>Šveices ielā 13</w:t>
      </w:r>
      <w:r>
        <w:rPr>
          <w:rFonts w:ascii="Times New Roman" w:cs="Times New Roman" w:eastAsia="Times New Roman" w:hAnsi="Times New Roman"/>
          <w:color w:val="000000"/>
        </w:rPr>
        <w:t xml:space="preserve">, Siguldā </w:t>
      </w:r>
      <w:r>
        <w:rPr>
          <w:rFonts w:ascii="Times New Roman" w:cs="Times New Roman" w:eastAsia="Times New Roman" w:hAnsi="Times New Roman"/>
        </w:rPr>
        <w:t>(turpmāk – Nomas objekts)</w:t>
      </w:r>
      <w:r>
        <w:rPr>
          <w:rFonts w:ascii="Times New Roman" w:cs="Times New Roman" w:eastAsia="Times New Roman" w:hAnsi="Times New Roman"/>
          <w:color w:val="000000"/>
        </w:rPr>
        <w:t>.</w:t>
      </w:r>
      <w:r>
        <w:rPr>
          <w:rFonts w:ascii="Times New Roman" w:cs="Times New Roman" w:eastAsia="Times New Roman" w:hAnsi="Times New Roman"/>
        </w:rPr>
        <w:t xml:space="preserve"> </w:t>
      </w:r>
    </w:p>
    <w:p w14:paraId="0000001A">
      <w:pPr>
        <w:numPr>
          <w:ilvl w:val="1"/>
          <w:numId w:val="4"/>
        </w:numPr>
        <w:pBdr>
          <w:top w:val="nil" w:sz="4" w:space="0"/>
          <w:left w:val="nil" w:sz="4" w:space="0"/>
          <w:bottom w:val="nil" w:sz="4" w:space="0"/>
          <w:right w:val="nil" w:sz="4" w:space="0"/>
          <w:between w:val="nil" w:sz="4" w:space="0"/>
        </w:pBdr>
        <w:shd w:val="clear" w:color="auto" w:fill="ffffff"/>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b/>
          <w:color w:val="000000"/>
        </w:rPr>
        <w:t>Telpu lietošanas mērķis:</w:t>
      </w:r>
      <w:r>
        <w:rPr>
          <w:rFonts w:ascii="Times New Roman" w:cs="Times New Roman" w:eastAsia="Times New Roman" w:hAnsi="Times New Roman"/>
          <w:b/>
        </w:rPr>
        <w:t xml:space="preserve"> </w:t>
      </w:r>
      <w:r>
        <w:rPr>
          <w:rFonts w:ascii="Times New Roman" w:cs="Times New Roman" w:eastAsia="Times New Roman" w:hAnsi="Times New Roman"/>
        </w:rPr>
        <w:t xml:space="preserve">Biroja telpas, sporta nodarbību telpas. </w:t>
      </w:r>
    </w:p>
    <w:p w14:paraId="0000001B">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i/>
          <w:color w:val="000000"/>
        </w:rPr>
      </w:pPr>
      <w:r>
        <w:rPr>
          <w:rFonts w:ascii="Times New Roman" w:cs="Times New Roman" w:eastAsia="Times New Roman" w:hAnsi="Times New Roman"/>
          <w:b/>
        </w:rPr>
        <w:t>Telpas i</w:t>
      </w:r>
      <w:r>
        <w:rPr>
          <w:rFonts w:ascii="Times New Roman" w:cs="Times New Roman" w:eastAsia="Times New Roman" w:hAnsi="Times New Roman"/>
          <w:b/>
          <w:color w:val="000000"/>
        </w:rPr>
        <w:t>zsoles sākumcena: EUR</w:t>
      </w:r>
      <w:r>
        <w:rPr>
          <w:rFonts w:ascii="Times New Roman" w:cs="Times New Roman" w:eastAsia="Times New Roman" w:hAnsi="Times New Roman"/>
          <w:b/>
        </w:rPr>
        <w:t xml:space="preserve"> 105,</w:t>
      </w:r>
      <w:r>
        <w:rPr>
          <w:rFonts w:ascii="Times New Roman" w:cs="Times New Roman" w:eastAsia="Times New Roman" w:hAnsi="Times New Roman"/>
          <w:b/>
        </w:rPr>
        <w:t>00</w:t>
      </w:r>
      <w:r>
        <w:rPr>
          <w:rFonts w:ascii="Times New Roman" w:cs="Times New Roman" w:eastAsia="Times New Roman" w:hAnsi="Times New Roman"/>
          <w:b/>
          <w:color w:val="000000"/>
        </w:rPr>
        <w:t xml:space="preserve"> </w:t>
      </w:r>
      <w:r>
        <w:rPr>
          <w:rFonts w:ascii="Times New Roman" w:cs="Times New Roman" w:eastAsia="Times New Roman" w:hAnsi="Times New Roman"/>
          <w:color w:val="000000"/>
          <w:highlight w:val="none"/>
        </w:rPr>
        <w:t>(simtu pieci</w:t>
      </w:r>
      <w:r>
        <w:rPr>
          <w:rFonts w:ascii="Times New Roman" w:cs="Times New Roman" w:eastAsia="Times New Roman" w:hAnsi="Times New Roman"/>
          <w:highlight w:val="none"/>
        </w:rPr>
        <w:t xml:space="preserve"> </w:t>
      </w:r>
      <w:r>
        <w:rPr>
          <w:rFonts w:ascii="Times New Roman" w:cs="Times New Roman" w:eastAsia="Times New Roman" w:hAnsi="Times New Roman"/>
          <w:color w:val="000000"/>
          <w:highlight w:val="none"/>
        </w:rPr>
        <w:t>eiro un 0</w:t>
      </w:r>
      <w:r>
        <w:rPr>
          <w:rFonts w:ascii="Times New Roman" w:cs="Times New Roman" w:eastAsia="Times New Roman" w:hAnsi="Times New Roman"/>
          <w:color w:val="000000"/>
          <w:highlight w:val="none"/>
        </w:rPr>
        <w:t xml:space="preserve"> centi</w:t>
      </w:r>
      <w:r>
        <w:rPr>
          <w:rFonts w:ascii="Times New Roman" w:cs="Times New Roman" w:eastAsia="Times New Roman" w:hAnsi="Times New Roman"/>
          <w:color w:val="000000"/>
        </w:rPr>
        <w:t>)</w:t>
      </w:r>
      <w:r>
        <w:rPr>
          <w:rFonts w:ascii="Times New Roman" w:cs="Times New Roman" w:eastAsia="Times New Roman" w:hAnsi="Times New Roman"/>
          <w:color w:val="000000"/>
        </w:rPr>
        <w:t xml:space="preserve"> bez pievienotās vērtības nodokļa (turpmāk – PVN) </w:t>
      </w:r>
      <w:r>
        <w:rPr>
          <w:rFonts w:ascii="Times New Roman" w:cs="Times New Roman" w:eastAsia="Times New Roman" w:hAnsi="Times New Roman"/>
          <w:b/>
          <w:color w:val="000000"/>
        </w:rPr>
        <w:t xml:space="preserve">mēnesī. </w:t>
      </w:r>
      <w:r>
        <w:rPr>
          <w:rFonts w:ascii="Times New Roman" w:cs="Times New Roman" w:eastAsia="Times New Roman" w:hAnsi="Times New Roman"/>
          <w:color w:val="000000"/>
        </w:rPr>
        <w:t>PVN tiek aprēķināts saskaņā ar Latvijas Republikas normatīvajos aktos noteikto likmi.</w:t>
      </w:r>
    </w:p>
    <w:p w14:paraId="0000001C">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i/>
          <w:color w:val="000000"/>
        </w:rPr>
      </w:pPr>
      <w:r>
        <w:rPr>
          <w:rFonts w:ascii="Times New Roman" w:cs="Times New Roman" w:eastAsia="Times New Roman" w:hAnsi="Times New Roman"/>
          <w:b/>
          <w:color w:val="000000"/>
        </w:rPr>
        <w:t>Izsoles minimālais solis:</w:t>
      </w:r>
      <w:r>
        <w:rPr>
          <w:rFonts w:ascii="Times New Roman" w:cs="Times New Roman" w:eastAsia="Times New Roman" w:hAnsi="Times New Roman"/>
          <w:color w:val="000000"/>
        </w:rPr>
        <w:t xml:space="preserve"> EUR 10</w:t>
      </w:r>
      <w:r>
        <w:rPr>
          <w:rFonts w:ascii="Times New Roman" w:cs="Times New Roman" w:eastAsia="Times New Roman" w:hAnsi="Times New Roman"/>
          <w:color w:val="000000"/>
          <w:highlight w:val="none"/>
        </w:rPr>
        <w:t>,00  (desmit</w:t>
      </w:r>
      <w:r>
        <w:rPr>
          <w:rFonts w:ascii="Times New Roman" w:cs="Times New Roman" w:eastAsia="Times New Roman" w:hAnsi="Times New Roman"/>
          <w:color w:val="000000"/>
          <w:highlight w:val="none"/>
        </w:rPr>
        <w:t xml:space="preserve"> eiro un </w:t>
      </w:r>
      <w:r>
        <w:rPr>
          <w:rFonts w:ascii="Times New Roman" w:cs="Times New Roman" w:eastAsia="Times New Roman" w:hAnsi="Times New Roman"/>
          <w:highlight w:val="none"/>
        </w:rPr>
        <w:t>0</w:t>
      </w:r>
      <w:r>
        <w:rPr>
          <w:rFonts w:ascii="Times New Roman" w:cs="Times New Roman" w:eastAsia="Times New Roman" w:hAnsi="Times New Roman"/>
          <w:color w:val="000000"/>
          <w:highlight w:val="none"/>
        </w:rPr>
        <w:t>0 centi)</w:t>
      </w:r>
      <w:r>
        <w:rPr>
          <w:rFonts w:ascii="Times New Roman" w:cs="Times New Roman" w:eastAsia="Times New Roman" w:hAnsi="Times New Roman"/>
          <w:color w:val="000000"/>
        </w:rPr>
        <w:t xml:space="preserve"> par </w:t>
      </w:r>
      <w:r>
        <w:rPr>
          <w:rFonts w:ascii="Times New Roman" w:cs="Times New Roman" w:eastAsia="Times New Roman" w:hAnsi="Times New Roman"/>
        </w:rPr>
        <w:t>telpu nomu</w:t>
      </w:r>
      <w:r>
        <w:rPr>
          <w:rFonts w:ascii="Times New Roman" w:cs="Times New Roman" w:eastAsia="Times New Roman" w:hAnsi="Times New Roman"/>
          <w:color w:val="000000"/>
        </w:rPr>
        <w:t xml:space="preserve"> mēnesī.</w:t>
      </w:r>
    </w:p>
    <w:p w14:paraId="0000001D">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i/>
          <w:color w:val="000000"/>
        </w:rPr>
      </w:pPr>
      <w:r>
        <w:rPr>
          <w:rFonts w:ascii="Times New Roman" w:cs="Times New Roman" w:eastAsia="Times New Roman" w:hAnsi="Times New Roman"/>
          <w:b/>
          <w:color w:val="000000"/>
        </w:rPr>
        <w:t>Telpu nomas termiņš</w:t>
      </w:r>
      <w:r>
        <w:rPr>
          <w:rFonts w:ascii="Times New Roman" w:cs="Times New Roman" w:eastAsia="Times New Roman" w:hAnsi="Times New Roman"/>
          <w:b/>
          <w:color w:val="000000"/>
        </w:rPr>
        <w:t>:</w:t>
      </w:r>
      <w:r>
        <w:rPr>
          <w:rFonts w:ascii="Times New Roman" w:cs="Times New Roman" w:eastAsia="Times New Roman" w:hAnsi="Times New Roman"/>
          <w:color w:val="000000"/>
        </w:rPr>
        <w:t xml:space="preserve"> 2</w:t>
      </w:r>
      <w:r>
        <w:rPr>
          <w:rFonts w:ascii="Times New Roman" w:cs="Times New Roman" w:eastAsia="Times New Roman" w:hAnsi="Times New Roman"/>
        </w:rPr>
        <w:t xml:space="preserve"> </w:t>
      </w:r>
      <w:r>
        <w:rPr>
          <w:rFonts w:ascii="Times New Roman" w:cs="Times New Roman" w:eastAsia="Times New Roman" w:hAnsi="Times New Roman"/>
          <w:color w:val="000000"/>
        </w:rPr>
        <w:t>(divi</w:t>
      </w:r>
      <w:r>
        <w:rPr>
          <w:rFonts w:ascii="Times New Roman" w:cs="Times New Roman" w:eastAsia="Times New Roman" w:hAnsi="Times New Roman"/>
          <w:color w:val="000000"/>
        </w:rPr>
        <w:t>)</w:t>
      </w:r>
      <w:r>
        <w:rPr>
          <w:rFonts w:ascii="Times New Roman" w:cs="Times New Roman" w:eastAsia="Times New Roman" w:hAnsi="Times New Roman"/>
          <w:color w:val="000000"/>
        </w:rPr>
        <w:t xml:space="preserve"> gadi.</w:t>
      </w:r>
    </w:p>
    <w:p w14:paraId="0000001E">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color w:val="000000"/>
        </w:rPr>
      </w:pPr>
      <w:r>
        <w:rPr>
          <w:rFonts w:ascii="Times New Roman" w:cs="Times New Roman" w:eastAsia="Times New Roman" w:hAnsi="Times New Roman"/>
          <w:b/>
          <w:color w:val="000000"/>
        </w:rPr>
        <w:t>Pretendentam nepieciešamie ieguldījumi</w:t>
      </w:r>
      <w:r>
        <w:rPr>
          <w:rFonts w:ascii="Times New Roman" w:cs="Times New Roman" w:eastAsia="Times New Roman" w:hAnsi="Times New Roman"/>
          <w:color w:val="000000"/>
        </w:rPr>
        <w:t xml:space="preserve"> jāveic nomniekam pašam, pēc saviem ieskatiem, saskaņā ar jomu regulējošiem Latvijas Republikā spēkā esošajiem normatīvajiem aktiem. </w:t>
      </w:r>
    </w:p>
    <w:p w14:paraId="0000001F">
      <w:pPr>
        <w:numPr>
          <w:ilvl w:val="1"/>
          <w:numId w:val="4"/>
        </w:numPr>
        <w:pBdr>
          <w:top w:val="nil" w:sz="4" w:space="0"/>
          <w:left w:val="nil" w:sz="4" w:space="0"/>
          <w:bottom w:val="nil" w:sz="4" w:space="0"/>
          <w:right w:val="nil" w:sz="4" w:space="0"/>
          <w:between w:val="nil" w:sz="4" w:space="0"/>
        </w:pBdr>
        <w:spacing w:after="0"/>
        <w:ind w:left="426" w:hanging="568"/>
        <w:jc w:val="both"/>
        <w:rPr>
          <w:rFonts w:ascii="Times New Roman" w:cs="Times New Roman" w:eastAsia="Times New Roman" w:hAnsi="Times New Roman"/>
          <w:i/>
          <w:color w:val="000000"/>
          <w:highlight w:val="none"/>
        </w:rPr>
      </w:pPr>
      <w:r>
        <w:rPr>
          <w:rFonts w:ascii="Times New Roman" w:cs="Times New Roman" w:eastAsia="Times New Roman" w:hAnsi="Times New Roman"/>
          <w:color w:val="000000"/>
          <w:highlight w:val="none"/>
        </w:rPr>
        <w:t>Papildu Telpu nomas maksai nomnieks maksā apsaimniekošanas maksu, maksu par  komunālajiem un citiem pakalpojumiem (piemēram, sakaru pakalpojumiem), ja Sabiedrība šādus pakalpojumus nodrošina.</w:t>
      </w:r>
    </w:p>
    <w:p w14:paraId="00000020">
      <w:pPr>
        <w:numPr>
          <w:ilvl w:val="1"/>
          <w:numId w:val="4"/>
        </w:numPr>
        <w:pBdr>
          <w:top w:val="nil" w:sz="4" w:space="0"/>
          <w:left w:val="nil" w:sz="4" w:space="0"/>
          <w:bottom w:val="nil" w:sz="4" w:space="0"/>
          <w:right w:val="nil" w:sz="4" w:space="0"/>
          <w:between w:val="nil" w:sz="4" w:space="0"/>
        </w:pBdr>
        <w:spacing w:after="0"/>
        <w:ind w:left="426" w:hanging="568"/>
        <w:jc w:val="both"/>
        <w:rPr>
          <w:rFonts w:ascii="Times New Roman" w:cs="Times New Roman" w:eastAsia="Times New Roman" w:hAnsi="Times New Roman"/>
          <w:i/>
          <w:color w:val="000000"/>
        </w:rPr>
      </w:pPr>
      <w:r>
        <w:rPr>
          <w:rFonts w:ascii="Times New Roman" w:cs="Times New Roman" w:eastAsia="Times New Roman" w:hAnsi="Times New Roman"/>
          <w:color w:val="000000"/>
        </w:rPr>
        <w:t>Nomniekam nav tiesību nodot Telpu vai to daļu apakšnomā trešajām personām.</w:t>
      </w:r>
    </w:p>
    <w:p w14:paraId="00000021">
      <w:pPr>
        <w:numPr>
          <w:ilvl w:val="1"/>
          <w:numId w:val="4"/>
        </w:numPr>
        <w:pBdr>
          <w:top w:val="nil" w:sz="4" w:space="0"/>
          <w:left w:val="nil" w:sz="4" w:space="0"/>
          <w:bottom w:val="nil" w:sz="4" w:space="0"/>
          <w:right w:val="nil" w:sz="4" w:space="0"/>
          <w:between w:val="nil" w:sz="4" w:space="0"/>
        </w:pBdr>
        <w:spacing w:after="0"/>
        <w:ind w:left="426" w:hanging="568"/>
        <w:jc w:val="both"/>
        <w:rPr>
          <w:rFonts w:ascii="Times New Roman" w:cs="Times New Roman" w:eastAsia="Times New Roman" w:hAnsi="Times New Roman"/>
          <w:b/>
          <w:color w:val="000000"/>
        </w:rPr>
      </w:pPr>
      <w:r>
        <w:rPr>
          <w:rFonts w:ascii="Times New Roman" w:cs="Times New Roman" w:eastAsia="Times New Roman" w:hAnsi="Times New Roman"/>
          <w:color w:val="000000"/>
        </w:rPr>
        <w:t>Izsoles Telpu pretendents var apskatīt tā atrašanās vietā, apskates laiku (darba dienās) iepriekš saskaņojot ar Arni Mileiko</w:t>
      </w:r>
      <w:r>
        <w:rPr>
          <w:rFonts w:ascii="Times New Roman" w:cs="Times New Roman" w:eastAsia="Times New Roman" w:hAnsi="Times New Roman"/>
          <w:color w:val="000000"/>
        </w:rPr>
        <w:t>, tel.nr. 29343991</w:t>
      </w:r>
      <w:r>
        <w:rPr>
          <w:rFonts w:ascii="Times New Roman" w:cs="Times New Roman" w:eastAsia="Times New Roman" w:hAnsi="Times New Roman"/>
          <w:color w:val="000000"/>
        </w:rPr>
        <w:t>, e-pasts:</w:t>
      </w:r>
      <w:r>
        <w:rPr>
          <w:rFonts w:ascii="Times New Roman" w:cs="Times New Roman" w:eastAsia="Times New Roman" w:hAnsi="Times New Roman"/>
        </w:rPr>
        <w:t xml:space="preserve"> arnis.mileiko@lnsc.lv</w:t>
      </w:r>
    </w:p>
    <w:p w14:paraId="00000022">
      <w:pPr>
        <w:pBdr>
          <w:top w:val="nil" w:sz="4" w:space="0"/>
          <w:left w:val="nil" w:sz="4" w:space="0"/>
          <w:bottom w:val="nil" w:sz="4" w:space="0"/>
          <w:right w:val="nil" w:sz="4" w:space="0"/>
          <w:between w:val="nil" w:sz="4" w:space="0"/>
        </w:pBdr>
        <w:spacing w:after="0"/>
        <w:ind w:left="360"/>
        <w:jc w:val="both"/>
        <w:rPr>
          <w:rFonts w:ascii="Times New Roman" w:cs="Times New Roman" w:eastAsia="Times New Roman" w:hAnsi="Times New Roman"/>
          <w:b/>
          <w:color w:val="000000"/>
        </w:rPr>
      </w:pPr>
    </w:p>
    <w:p w14:paraId="00000023">
      <w:pPr>
        <w:numPr>
          <w:ilvl w:val="0"/>
          <w:numId w:val="4"/>
        </w:numPr>
        <w:pBdr>
          <w:top w:val="nil" w:sz="4" w:space="0"/>
          <w:left w:val="nil" w:sz="4" w:space="0"/>
          <w:bottom w:val="nil" w:sz="4" w:space="0"/>
          <w:right w:val="nil" w:sz="4" w:space="0"/>
          <w:between w:val="nil" w:sz="4" w:space="0"/>
        </w:pBdr>
        <w:spacing w:after="0"/>
        <w:jc w:val="center"/>
        <w:rPr>
          <w:rFonts w:ascii="Times New Roman" w:cs="Times New Roman" w:eastAsia="Times New Roman" w:hAnsi="Times New Roman"/>
          <w:b/>
          <w:color w:val="000000"/>
        </w:rPr>
      </w:pPr>
      <w:r>
        <w:rPr>
          <w:rFonts w:ascii="Times New Roman" w:cs="Times New Roman" w:eastAsia="Times New Roman" w:hAnsi="Times New Roman"/>
          <w:b/>
          <w:color w:val="000000"/>
        </w:rPr>
        <w:t>Informācija par izsoles publicēšanu</w:t>
      </w:r>
    </w:p>
    <w:p w14:paraId="00000024">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bookmarkStart w:id="2" w:name="_heading=h.1fob9te"/>
      <w:bookmarkEnd w:id="2"/>
      <w:r>
        <w:rPr>
          <w:rFonts w:ascii="Times New Roman" w:cs="Times New Roman" w:eastAsia="Times New Roman" w:hAnsi="Times New Roman"/>
          <w:color w:val="000000"/>
        </w:rPr>
        <w:t>S</w:t>
      </w:r>
      <w:r>
        <w:rPr>
          <w:rFonts w:ascii="Times New Roman" w:cs="Times New Roman" w:eastAsia="Times New Roman" w:hAnsi="Times New Roman"/>
          <w:color w:val="000000"/>
        </w:rPr>
        <w:t xml:space="preserve">ludinājumu par izsoli un nolikumu Sabiedrība publicē savā mājaslapas internetā </w:t>
      </w:r>
      <w:r>
        <w:rPr>
          <w:rStyle w:val="Hyperlink"/>
          <w:rFonts w:ascii="Times New Roman" w:cs="Times New Roman" w:eastAsia="Times New Roman" w:hAnsi="Times New Roman"/>
        </w:rPr>
        <w:fldChar w:fldCharType="begin"/>
      </w:r>
      <w:r>
        <w:rPr>
          <w:rStyle w:val="Hyperlink"/>
          <w:rFonts w:ascii="Times New Roman" w:cs="Times New Roman" w:eastAsia="Times New Roman" w:hAnsi="Times New Roman"/>
        </w:rPr>
        <w:instrText xml:space="preserve">HYPERLINK "http://www.lnsc.lv" </w:instrText>
      </w:r>
      <w:r>
        <w:rPr>
          <w:rStyle w:val="Hyperlink"/>
          <w:rFonts w:ascii="Times New Roman" w:cs="Times New Roman" w:eastAsia="Times New Roman" w:hAnsi="Times New Roman"/>
        </w:rPr>
        <w:fldChar w:fldCharType="separate"/>
      </w:r>
      <w:r>
        <w:rPr>
          <w:rStyle w:val="Hyperlink"/>
          <w:rFonts w:ascii="Times New Roman" w:cs="Times New Roman" w:eastAsia="Times New Roman" w:hAnsi="Times New Roman"/>
        </w:rPr>
        <w:t>www.lnsc.lv</w:t>
      </w:r>
      <w:r>
        <w:rPr>
          <w:rFonts w:ascii="Times New Roman" w:cs="Times New Roman" w:eastAsia="Times New Roman" w:hAnsi="Times New Roman"/>
          <w:color w:val="000000"/>
        </w:rPr>
        <w:fldChar w:fldCharType="end"/>
      </w:r>
      <w:r>
        <w:rPr>
          <w:rFonts w:ascii="Times New Roman" w:cs="Times New Roman" w:eastAsia="Times New Roman" w:hAnsi="Times New Roman"/>
          <w:color w:val="000000"/>
        </w:rPr>
        <w:t xml:space="preserve"> sadaļas „Par mums” </w:t>
      </w:r>
      <w:r>
        <w:rPr>
          <w:rFonts w:ascii="Times New Roman" w:cs="Times New Roman" w:eastAsia="Times New Roman" w:hAnsi="Times New Roman"/>
          <w:color w:val="000000"/>
        </w:rPr>
        <w:t>apakšsadaļā</w:t>
      </w:r>
      <w:r>
        <w:rPr>
          <w:rFonts w:ascii="Times New Roman" w:cs="Times New Roman" w:eastAsia="Times New Roman" w:hAnsi="Times New Roman"/>
          <w:color w:val="000000"/>
        </w:rPr>
        <w:t xml:space="preserve"> “Iepirkumi un izsoles”.</w:t>
      </w:r>
    </w:p>
    <w:p w14:paraId="00000025">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 xml:space="preserve">Sludinājumu par izsoli publicē arī VAS „Valsts nekustamie īpašumi” mājaslapā internetā </w:t>
      </w:r>
      <w:r>
        <w:rPr>
          <w:rFonts w:ascii="Times New Roman" w:cs="Times New Roman" w:eastAsia="Times New Roman" w:hAnsi="Times New Roman"/>
          <w:color w:val="0563c1"/>
          <w:u w:val="single"/>
        </w:rPr>
        <w:fldChar w:fldCharType="begin"/>
      </w:r>
      <w:r>
        <w:rPr>
          <w:rFonts w:ascii="Times New Roman" w:cs="Times New Roman" w:eastAsia="Times New Roman" w:hAnsi="Times New Roman"/>
          <w:color w:val="0563c1"/>
          <w:u w:val="single"/>
        </w:rPr>
        <w:instrText xml:space="preserve">HYPERLINK "http://www.vni.lv" </w:instrText>
      </w:r>
      <w:r>
        <w:rPr>
          <w:rFonts w:ascii="Times New Roman" w:cs="Times New Roman" w:eastAsia="Times New Roman" w:hAnsi="Times New Roman"/>
          <w:color w:val="0563c1"/>
          <w:u w:val="single"/>
        </w:rPr>
        <w:fldChar w:fldCharType="separate"/>
      </w:r>
      <w:r>
        <w:rPr>
          <w:rFonts w:ascii="Times New Roman" w:cs="Times New Roman" w:eastAsia="Times New Roman" w:hAnsi="Times New Roman"/>
          <w:color w:val="0563c1"/>
          <w:u w:val="single"/>
        </w:rPr>
        <w:t>www.vni.lv</w:t>
      </w:r>
      <w:r>
        <w:rPr>
          <w:rFonts w:ascii="Times New Roman" w:cs="Times New Roman" w:eastAsia="Times New Roman" w:hAnsi="Times New Roman"/>
          <w:color w:val="000000"/>
        </w:rPr>
        <w:fldChar w:fldCharType="end"/>
      </w:r>
      <w:r>
        <w:rPr>
          <w:rFonts w:ascii="Times New Roman" w:cs="Times New Roman" w:eastAsia="Times New Roman" w:hAnsi="Times New Roman"/>
          <w:color w:val="000000"/>
        </w:rPr>
        <w:t xml:space="preserve"> </w:t>
      </w:r>
    </w:p>
    <w:p w14:paraId="00000026">
      <w:pPr>
        <w:pBdr>
          <w:top w:val="nil" w:sz="4" w:space="0"/>
          <w:left w:val="nil" w:sz="4" w:space="0"/>
          <w:bottom w:val="nil" w:sz="4" w:space="0"/>
          <w:right w:val="nil" w:sz="4" w:space="0"/>
          <w:between w:val="nil" w:sz="4" w:space="0"/>
        </w:pBdr>
        <w:spacing w:after="0"/>
        <w:ind w:left="426"/>
        <w:jc w:val="both"/>
        <w:rPr>
          <w:rFonts w:ascii="Times New Roman" w:cs="Times New Roman" w:eastAsia="Times New Roman" w:hAnsi="Times New Roman"/>
          <w:b/>
          <w:i/>
          <w:color w:val="000000"/>
        </w:rPr>
      </w:pPr>
    </w:p>
    <w:p w14:paraId="00000027">
      <w:pPr>
        <w:numPr>
          <w:ilvl w:val="0"/>
          <w:numId w:val="4"/>
        </w:numPr>
        <w:pBdr>
          <w:top w:val="nil" w:sz="4" w:space="0"/>
          <w:left w:val="nil" w:sz="4" w:space="0"/>
          <w:bottom w:val="nil" w:sz="4" w:space="0"/>
          <w:right w:val="nil" w:sz="4" w:space="0"/>
          <w:between w:val="nil" w:sz="4" w:space="0"/>
        </w:pBdr>
        <w:spacing w:after="0"/>
        <w:jc w:val="center"/>
        <w:rPr>
          <w:rFonts w:ascii="Times New Roman" w:cs="Times New Roman" w:eastAsia="Times New Roman" w:hAnsi="Times New Roman"/>
          <w:b/>
          <w:color w:val="000000"/>
        </w:rPr>
      </w:pPr>
      <w:r>
        <w:rPr>
          <w:rFonts w:ascii="Times New Roman" w:cs="Times New Roman" w:eastAsia="Times New Roman" w:hAnsi="Times New Roman"/>
          <w:b/>
          <w:color w:val="000000"/>
        </w:rPr>
        <w:t>Piedāvājuma iesniegšanas kārtība un prasības pretendentiem</w:t>
      </w:r>
    </w:p>
    <w:p w14:paraId="00000028">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Pretendents piedāvājumu iesniedz līdz</w:t>
      </w:r>
      <w:r>
        <w:rPr>
          <w:rFonts w:ascii="Times New Roman" w:cs="Times New Roman" w:eastAsia="Times New Roman" w:hAnsi="Times New Roman"/>
        </w:rPr>
        <w:t xml:space="preserve"> </w:t>
      </w:r>
      <w:r>
        <w:rPr>
          <w:rFonts w:ascii="Times New Roman" w:cs="Times New Roman" w:eastAsia="Times New Roman" w:hAnsi="Times New Roman"/>
          <w:b/>
          <w:bCs/>
        </w:rPr>
        <w:t>11</w:t>
      </w:r>
      <w:r>
        <w:rPr>
          <w:rFonts w:ascii="Times New Roman" w:cs="Times New Roman" w:eastAsia="Times New Roman" w:hAnsi="Times New Roman"/>
          <w:b/>
          <w:bCs/>
        </w:rPr>
        <w:t>.</w:t>
      </w:r>
      <w:r>
        <w:rPr>
          <w:rFonts w:ascii="Times New Roman" w:cs="Times New Roman" w:eastAsia="Times New Roman" w:hAnsi="Times New Roman"/>
          <w:b/>
          <w:bCs/>
        </w:rPr>
        <w:t>04</w:t>
      </w:r>
      <w:r>
        <w:rPr>
          <w:rFonts w:ascii="Times New Roman" w:cs="Times New Roman" w:eastAsia="Times New Roman" w:hAnsi="Times New Roman"/>
          <w:b/>
          <w:bCs/>
        </w:rPr>
        <w:t>.2025</w:t>
      </w:r>
      <w:r>
        <w:rPr>
          <w:rFonts w:ascii="Times New Roman" w:cs="Times New Roman" w:eastAsia="Times New Roman" w:hAnsi="Times New Roman"/>
          <w:b/>
          <w:bCs/>
          <w:color w:val="000000"/>
        </w:rPr>
        <w:t>.</w:t>
      </w:r>
      <w:r>
        <w:rPr>
          <w:rFonts w:ascii="Times New Roman" w:cs="Times New Roman" w:eastAsia="Times New Roman" w:hAnsi="Times New Roman"/>
          <w:color w:val="000000"/>
        </w:rPr>
        <w:t xml:space="preserve"> </w:t>
      </w:r>
      <w:r>
        <w:rPr>
          <w:rFonts w:ascii="Times New Roman" w:cs="Times New Roman" w:eastAsia="Times New Roman" w:hAnsi="Times New Roman"/>
          <w:b/>
          <w:color w:val="000000"/>
        </w:rPr>
        <w:t>plkst. 1</w:t>
      </w:r>
      <w:r>
        <w:rPr>
          <w:rFonts w:ascii="Times New Roman" w:cs="Times New Roman" w:eastAsia="Times New Roman" w:hAnsi="Times New Roman"/>
          <w:b/>
        </w:rPr>
        <w:t>1</w:t>
      </w:r>
      <w:r>
        <w:rPr>
          <w:rFonts w:ascii="Times New Roman" w:cs="Times New Roman" w:eastAsia="Times New Roman" w:hAnsi="Times New Roman"/>
          <w:b/>
        </w:rPr>
        <w:t>:</w:t>
      </w:r>
      <w:r>
        <w:rPr>
          <w:rFonts w:ascii="Times New Roman" w:cs="Times New Roman" w:eastAsia="Times New Roman" w:hAnsi="Times New Roman"/>
          <w:b/>
        </w:rPr>
        <w:t>00</w:t>
      </w:r>
      <w:r>
        <w:rPr>
          <w:rFonts w:ascii="Times New Roman" w:cs="Times New Roman" w:eastAsia="Times New Roman" w:hAnsi="Times New Roman"/>
          <w:color w:val="000000"/>
        </w:rPr>
        <w:t xml:space="preserve"> </w:t>
      </w:r>
      <w:r>
        <w:rPr>
          <w:rFonts w:ascii="Times New Roman" w:cs="Times New Roman" w:eastAsia="Times New Roman" w:hAnsi="Times New Roman"/>
          <w:color w:val="000000"/>
        </w:rPr>
        <w:t xml:space="preserve">Sabiedrības Administrācijā, </w:t>
      </w:r>
      <w:r>
        <w:rPr>
          <w:rFonts w:ascii="Times New Roman" w:cs="Times New Roman" w:eastAsia="Times New Roman" w:hAnsi="Times New Roman"/>
          <w:color w:val="000000"/>
        </w:rPr>
        <w:t>Augšielā</w:t>
      </w:r>
      <w:r>
        <w:rPr>
          <w:rFonts w:ascii="Times New Roman" w:cs="Times New Roman" w:eastAsia="Times New Roman" w:hAnsi="Times New Roman"/>
          <w:color w:val="000000"/>
        </w:rPr>
        <w:t xml:space="preserve"> 1, Rīgā vai Sabiedrības struktūvienībā “Bobsleja un kamaniņu trase “Sigulda””, Šveices ielā 13, Siguldā</w:t>
      </w:r>
      <w:r>
        <w:rPr>
          <w:rFonts w:ascii="Times New Roman" w:cs="Times New Roman" w:eastAsia="Times New Roman" w:hAnsi="Times New Roman"/>
          <w:color w:val="000000"/>
        </w:rPr>
        <w:t>, piedāvājumu iesniedzot personīgi vai nosūtot pa pastu. Pasta sūtījumiem jābūt saņemtiem Sabiedrībā līdz</w:t>
      </w:r>
      <w:r>
        <w:rPr>
          <w:rFonts w:ascii="Times New Roman" w:cs="Times New Roman" w:eastAsia="Times New Roman" w:hAnsi="Times New Roman"/>
        </w:rPr>
        <w:t xml:space="preserve"> </w:t>
      </w:r>
      <w:r>
        <w:rPr>
          <w:rFonts w:ascii="Times New Roman" w:cs="Times New Roman" w:eastAsia="Times New Roman" w:hAnsi="Times New Roman"/>
          <w:b/>
          <w:bCs/>
        </w:rPr>
        <w:t>11</w:t>
      </w:r>
      <w:r>
        <w:rPr>
          <w:rFonts w:ascii="Times New Roman" w:cs="Times New Roman" w:eastAsia="Times New Roman" w:hAnsi="Times New Roman"/>
          <w:b/>
          <w:bCs/>
        </w:rPr>
        <w:t>.</w:t>
      </w:r>
      <w:r>
        <w:rPr>
          <w:rFonts w:ascii="Times New Roman" w:cs="Times New Roman" w:eastAsia="Times New Roman" w:hAnsi="Times New Roman"/>
          <w:b/>
          <w:bCs/>
        </w:rPr>
        <w:t>04</w:t>
      </w:r>
      <w:r>
        <w:rPr>
          <w:rFonts w:ascii="Times New Roman" w:cs="Times New Roman" w:eastAsia="Times New Roman" w:hAnsi="Times New Roman"/>
          <w:b/>
          <w:bCs/>
        </w:rPr>
        <w:t>.2025</w:t>
      </w:r>
      <w:r>
        <w:rPr>
          <w:rFonts w:ascii="Times New Roman" w:cs="Times New Roman" w:eastAsia="Times New Roman" w:hAnsi="Times New Roman"/>
          <w:b/>
          <w:bCs/>
          <w:color w:val="000000"/>
        </w:rPr>
        <w:t>.</w:t>
      </w:r>
      <w:r>
        <w:rPr>
          <w:rFonts w:ascii="Times New Roman" w:cs="Times New Roman" w:eastAsia="Times New Roman" w:hAnsi="Times New Roman"/>
          <w:color w:val="000000"/>
        </w:rPr>
        <w:t xml:space="preserve"> </w:t>
      </w:r>
      <w:r>
        <w:rPr>
          <w:rFonts w:ascii="Times New Roman" w:cs="Times New Roman" w:eastAsia="Times New Roman" w:hAnsi="Times New Roman"/>
          <w:b/>
          <w:color w:val="000000"/>
        </w:rPr>
        <w:t>plkst. 1</w:t>
      </w:r>
      <w:r>
        <w:rPr>
          <w:rFonts w:ascii="Times New Roman" w:cs="Times New Roman" w:eastAsia="Times New Roman" w:hAnsi="Times New Roman"/>
          <w:b/>
        </w:rPr>
        <w:t>1</w:t>
      </w:r>
      <w:r>
        <w:rPr>
          <w:rFonts w:ascii="Times New Roman" w:cs="Times New Roman" w:eastAsia="Times New Roman" w:hAnsi="Times New Roman"/>
          <w:b/>
        </w:rPr>
        <w:t>:</w:t>
      </w:r>
      <w:r>
        <w:rPr>
          <w:rFonts w:ascii="Times New Roman" w:cs="Times New Roman" w:eastAsia="Times New Roman" w:hAnsi="Times New Roman"/>
          <w:b/>
        </w:rPr>
        <w:t>0</w:t>
      </w:r>
      <w:r>
        <w:rPr>
          <w:rFonts w:ascii="Times New Roman" w:cs="Times New Roman" w:eastAsia="Times New Roman" w:hAnsi="Times New Roman"/>
          <w:b/>
        </w:rPr>
        <w:t>0.</w:t>
      </w:r>
      <w:r>
        <w:rPr>
          <w:rFonts w:ascii="Times New Roman" w:cs="Times New Roman" w:eastAsia="Times New Roman" w:hAnsi="Times New Roman"/>
          <w:color w:val="000000"/>
        </w:rPr>
        <w:t xml:space="preserve"> </w:t>
      </w:r>
    </w:p>
    <w:p w14:paraId="00000029">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color w:val="000000"/>
        </w:rPr>
      </w:pPr>
      <w:r>
        <w:rPr>
          <w:rFonts w:ascii="Times New Roman" w:cs="Times New Roman" w:eastAsia="Times New Roman" w:hAnsi="Times New Roman"/>
          <w:color w:val="000000"/>
        </w:rPr>
        <w:t>Pretendents piedāvājumu noformē, aizpildot “Pieteikums izsolei” (Nolikuma 1.pielikums), kurā norāda:</w:t>
      </w:r>
    </w:p>
    <w:p w14:paraId="0000002A">
      <w:pPr>
        <w:numPr>
          <w:ilvl w:val="2"/>
          <w:numId w:val="4"/>
        </w:numPr>
        <w:pBdr>
          <w:top w:val="nil" w:sz="4" w:space="0"/>
          <w:left w:val="nil" w:sz="4" w:space="0"/>
          <w:bottom w:val="nil" w:sz="4" w:space="0"/>
          <w:right w:val="nil" w:sz="4" w:space="0"/>
          <w:between w:val="nil" w:sz="4" w:space="0"/>
        </w:pBdr>
        <w:tabs>
          <w:tab w:val="left" w:pos="1134"/>
        </w:tabs>
        <w:spacing w:after="0"/>
        <w:jc w:val="both"/>
        <w:rPr>
          <w:rFonts w:ascii="Times New Roman" w:cs="Times New Roman" w:eastAsia="Times New Roman" w:hAnsi="Times New Roman"/>
          <w:color w:val="000000"/>
        </w:rPr>
      </w:pPr>
      <w:r>
        <w:rPr>
          <w:rFonts w:ascii="Times New Roman" w:cs="Times New Roman" w:eastAsia="Times New Roman" w:hAnsi="Times New Roman"/>
          <w:color w:val="000000"/>
        </w:rPr>
        <w:t>fiziska persona – vārdu, uzvārdu, personas kodu, deklarētās dzīvesvietas adresi;</w:t>
      </w:r>
    </w:p>
    <w:p w14:paraId="0000002B">
      <w:pPr>
        <w:pBdr>
          <w:top w:val="nil" w:sz="4" w:space="0"/>
          <w:left w:val="nil" w:sz="4" w:space="0"/>
          <w:bottom w:val="nil" w:sz="4" w:space="0"/>
          <w:right w:val="nil" w:sz="4" w:space="0"/>
          <w:between w:val="nil" w:sz="4" w:space="0"/>
        </w:pBdr>
        <w:spacing w:after="0"/>
        <w:ind w:left="1276" w:hanging="142"/>
        <w:jc w:val="both"/>
        <w:rPr>
          <w:rFonts w:ascii="Times New Roman" w:cs="Times New Roman" w:eastAsia="Times New Roman" w:hAnsi="Times New Roman"/>
          <w:color w:val="000000"/>
        </w:rPr>
      </w:pPr>
      <w:r>
        <w:rPr>
          <w:rFonts w:ascii="Times New Roman" w:cs="Times New Roman" w:eastAsia="Times New Roman" w:hAnsi="Times New Roman"/>
          <w:color w:val="000000"/>
        </w:rPr>
        <w:t>juridiska persona – nosaukumu, reģistrācijas numuru, juridisko adresi;</w:t>
      </w:r>
    </w:p>
    <w:p w14:paraId="0000002C">
      <w:pPr>
        <w:numPr>
          <w:ilvl w:val="2"/>
          <w:numId w:val="4"/>
        </w:numPr>
        <w:pBdr>
          <w:top w:val="nil" w:sz="4" w:space="0"/>
          <w:left w:val="nil" w:sz="4" w:space="0"/>
          <w:bottom w:val="nil" w:sz="4" w:space="0"/>
          <w:right w:val="nil" w:sz="4" w:space="0"/>
          <w:between w:val="nil" w:sz="4" w:space="0"/>
        </w:pBdr>
        <w:spacing w:after="0"/>
        <w:ind w:hanging="515"/>
        <w:jc w:val="both"/>
        <w:rPr>
          <w:rFonts w:ascii="Times New Roman" w:cs="Times New Roman" w:eastAsia="Times New Roman" w:hAnsi="Times New Roman"/>
          <w:b/>
          <w:i/>
          <w:color w:val="000000"/>
        </w:rPr>
      </w:pPr>
      <w:r>
        <w:rPr>
          <w:rFonts w:ascii="Times New Roman" w:cs="Times New Roman" w:eastAsia="Times New Roman" w:hAnsi="Times New Roman"/>
          <w:color w:val="000000"/>
        </w:rPr>
        <w:t xml:space="preserve">nomas tiesību pretendenta pārstāvja vārdu, uzvārdu, personas kodu (ja ir), pievienojot pilnvaru (oriģinālu vai apliecinātu kopiju) attiecīgajai personai pārstāvēt pretendenta intereses. Pilnvarā ir </w:t>
      </w:r>
      <w:r>
        <w:rPr>
          <w:rFonts w:ascii="Times New Roman" w:cs="Times New Roman" w:eastAsia="Times New Roman" w:hAnsi="Times New Roman"/>
          <w:color w:val="000000"/>
        </w:rPr>
        <w:t>jābūt  norādītam, ka persona ir pilnvarota piedalīties Telpu nomas tiesību izsolē. Fiziskās personas izsniegtai pilnvarai ir jābūt apliecinātai notariāli;</w:t>
      </w:r>
    </w:p>
    <w:p w14:paraId="0000002D">
      <w:pPr>
        <w:numPr>
          <w:ilvl w:val="2"/>
          <w:numId w:val="4"/>
        </w:numPr>
        <w:pBdr>
          <w:top w:val="nil" w:sz="4" w:space="0"/>
          <w:left w:val="nil" w:sz="4" w:space="0"/>
          <w:bottom w:val="nil" w:sz="4" w:space="0"/>
          <w:right w:val="nil" w:sz="4" w:space="0"/>
          <w:between w:val="nil" w:sz="4" w:space="0"/>
        </w:pBdr>
        <w:tabs>
          <w:tab w:val="left" w:pos="1276"/>
        </w:tabs>
        <w:spacing w:after="0"/>
        <w:ind w:left="1134" w:hanging="425"/>
        <w:jc w:val="both"/>
        <w:rPr>
          <w:rFonts w:ascii="Times New Roman" w:cs="Times New Roman" w:eastAsia="Times New Roman" w:hAnsi="Times New Roman"/>
          <w:color w:val="000000"/>
        </w:rPr>
      </w:pPr>
      <w:r>
        <w:rPr>
          <w:rFonts w:ascii="Times New Roman" w:cs="Times New Roman" w:eastAsia="Times New Roman" w:hAnsi="Times New Roman"/>
          <w:color w:val="000000"/>
        </w:rPr>
        <w:t>kontakttālruni un elektroniskā pasta adresi;</w:t>
      </w:r>
    </w:p>
    <w:p w14:paraId="0000002E">
      <w:pPr>
        <w:numPr>
          <w:ilvl w:val="2"/>
          <w:numId w:val="4"/>
        </w:numPr>
        <w:pBdr>
          <w:top w:val="nil" w:sz="4" w:space="0"/>
          <w:left w:val="nil" w:sz="4" w:space="0"/>
          <w:bottom w:val="nil" w:sz="4" w:space="0"/>
          <w:right w:val="nil" w:sz="4" w:space="0"/>
          <w:between w:val="nil" w:sz="4" w:space="0"/>
        </w:pBdr>
        <w:tabs>
          <w:tab w:val="left" w:pos="1276"/>
        </w:tabs>
        <w:spacing w:after="0"/>
        <w:ind w:left="1134" w:hanging="425"/>
        <w:jc w:val="both"/>
        <w:rPr>
          <w:rFonts w:ascii="Times New Roman" w:cs="Times New Roman" w:eastAsia="Times New Roman" w:hAnsi="Times New Roman"/>
          <w:color w:val="000000"/>
        </w:rPr>
      </w:pPr>
      <w:r>
        <w:rPr>
          <w:rFonts w:ascii="Times New Roman" w:cs="Times New Roman" w:eastAsia="Times New Roman" w:hAnsi="Times New Roman"/>
          <w:color w:val="000000"/>
        </w:rPr>
        <w:t>Izsoles objekta adresi un platību;</w:t>
      </w:r>
    </w:p>
    <w:p w14:paraId="0000002F">
      <w:pPr>
        <w:numPr>
          <w:ilvl w:val="2"/>
          <w:numId w:val="4"/>
        </w:numPr>
        <w:pBdr>
          <w:top w:val="nil" w:sz="4" w:space="0"/>
          <w:left w:val="nil" w:sz="4" w:space="0"/>
          <w:bottom w:val="nil" w:sz="4" w:space="0"/>
          <w:right w:val="nil" w:sz="4" w:space="0"/>
          <w:between w:val="nil" w:sz="4" w:space="0"/>
        </w:pBdr>
        <w:tabs>
          <w:tab w:val="left" w:pos="1276"/>
        </w:tabs>
        <w:spacing w:after="0"/>
        <w:ind w:left="1134" w:hanging="425"/>
        <w:jc w:val="both"/>
        <w:rPr>
          <w:rFonts w:ascii="Times New Roman" w:cs="Times New Roman" w:eastAsia="Times New Roman" w:hAnsi="Times New Roman"/>
          <w:color w:val="000000"/>
        </w:rPr>
      </w:pPr>
      <w:r>
        <w:rPr>
          <w:rFonts w:ascii="Times New Roman" w:cs="Times New Roman" w:eastAsia="Times New Roman" w:hAnsi="Times New Roman"/>
          <w:color w:val="000000"/>
        </w:rPr>
        <w:t>nomas laikā plānotās darbības izsoles objektā;</w:t>
      </w:r>
    </w:p>
    <w:p w14:paraId="00000030">
      <w:pPr>
        <w:numPr>
          <w:ilvl w:val="2"/>
          <w:numId w:val="4"/>
        </w:numPr>
        <w:pBdr>
          <w:top w:val="nil" w:sz="4" w:space="0"/>
          <w:left w:val="nil" w:sz="4" w:space="0"/>
          <w:bottom w:val="nil" w:sz="4" w:space="0"/>
          <w:right w:val="nil" w:sz="4" w:space="0"/>
          <w:between w:val="nil" w:sz="4" w:space="0"/>
        </w:pBdr>
        <w:tabs>
          <w:tab w:val="left" w:pos="1276"/>
        </w:tabs>
        <w:spacing w:after="0"/>
        <w:ind w:left="1276" w:hanging="567"/>
        <w:jc w:val="both"/>
        <w:rPr>
          <w:rFonts w:ascii="Times New Roman" w:cs="Times New Roman" w:eastAsia="Times New Roman" w:hAnsi="Times New Roman"/>
          <w:color w:val="000000"/>
        </w:rPr>
      </w:pPr>
      <w:r>
        <w:rPr>
          <w:rFonts w:ascii="Times New Roman" w:cs="Times New Roman" w:eastAsia="Times New Roman" w:hAnsi="Times New Roman"/>
          <w:color w:val="000000"/>
        </w:rPr>
        <w:t>piedāvāto nomas maksas apmēru par vienu iznomājamās platības kvadrātmetru mēnesī bez pievienotās vērtības nodokļa.</w:t>
      </w:r>
    </w:p>
    <w:p w14:paraId="00000031">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Pretendents var iesniegt vienu piedāvājuma variantu.</w:t>
      </w:r>
    </w:p>
    <w:p w14:paraId="00000032">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Piedāvājumam jābūt spēkā vismaz 1 (vienu) mēnesi no piedāvājuma atvēršanas brīža.</w:t>
      </w:r>
    </w:p>
    <w:p w14:paraId="00000033">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Dokumentiem jābūt skaidri salasāmiem. Ja Komisijai nepieciešams pārliecināties par dokumentu oriģināla juridisko spēku vai dokumenta atvasinājuma (kopijas) pareizību, Komisija dokumentu salīdzināšanai var pieprasīt, lai tiek uzrādīts dokumentu oriģināls, kurš atšķirības gadījumā būs noteicošais dokuments. Ja pastāvēs jebkāda veida pretrunas starp skaitlisko vērtību apzīmējumu ar vārdiem un skaitļiem, noteicošais būs apzīmējums ar vārdiem.</w:t>
      </w:r>
    </w:p>
    <w:p w14:paraId="00000034">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Visi dokumenti iesniedzami latviešu valodā 1 (vienā) eksemplārā. Ārvalstīs izdotiem dokumentiem vai dokumentiem svešvalodā jāpievieno apliecināts dokumenta tulkojums valsts valodā. Iesniegtie pieteikumi izsolei pretendentiem netiek atdoti atpakaļ.</w:t>
      </w:r>
    </w:p>
    <w:p w14:paraId="00000035">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 xml:space="preserve">Piedāvājums ar tam pievienotajiem dokumentiem ir jābūt </w:t>
      </w:r>
      <w:r>
        <w:rPr>
          <w:rFonts w:ascii="Times New Roman" w:cs="Times New Roman" w:eastAsia="Times New Roman" w:hAnsi="Times New Roman"/>
          <w:color w:val="000000"/>
        </w:rPr>
        <w:t>cauršūtiem</w:t>
      </w:r>
      <w:r>
        <w:rPr>
          <w:rFonts w:ascii="Times New Roman" w:cs="Times New Roman" w:eastAsia="Times New Roman" w:hAnsi="Times New Roman"/>
          <w:color w:val="000000"/>
        </w:rPr>
        <w:t xml:space="preserve">, apstiprinātiem ar pretendenta parakstu, jābūt norādītam kopējam lapaspušu skaitam, iesniegto dokumentu kopijām jābūt apliecinātām atbilstoši normatīvajos aktos noteiktajām prasībām. Piedāvājums ir jāiesniedz aizlīmētā aploksnē. </w:t>
      </w:r>
      <w:r>
        <w:rPr>
          <w:rFonts w:ascii="Times New Roman" w:cs="Times New Roman" w:eastAsia="Times New Roman" w:hAnsi="Times New Roman"/>
          <w:b/>
          <w:color w:val="000000"/>
        </w:rPr>
        <w:t>Uz aploksnes jānorāda šāda informācija:</w:t>
      </w:r>
    </w:p>
    <w:p w14:paraId="00000036">
      <w:pPr>
        <w:numPr>
          <w:ilvl w:val="2"/>
          <w:numId w:val="2"/>
        </w:numPr>
        <w:pBdr>
          <w:top w:val="nil" w:sz="4" w:space="0"/>
          <w:left w:val="nil" w:sz="4" w:space="0"/>
          <w:bottom w:val="nil" w:sz="4" w:space="0"/>
          <w:right w:val="nil" w:sz="4" w:space="0"/>
          <w:between w:val="nil" w:sz="4" w:space="0"/>
        </w:pBdr>
        <w:spacing w:after="0"/>
        <w:jc w:val="both"/>
        <w:rPr>
          <w:rFonts w:ascii="Times New Roman" w:cs="Times New Roman" w:eastAsia="Times New Roman" w:hAnsi="Times New Roman"/>
          <w:b/>
          <w:color w:val="000000"/>
        </w:rPr>
      </w:pPr>
      <w:r>
        <w:rPr>
          <w:rFonts w:ascii="Times New Roman" w:cs="Times New Roman" w:eastAsia="Times New Roman" w:hAnsi="Times New Roman"/>
          <w:b/>
          <w:bCs/>
          <w:color w:val="000000"/>
        </w:rPr>
        <w:t>Adresāts:</w:t>
      </w:r>
      <w:r>
        <w:rPr>
          <w:rFonts w:ascii="Times New Roman" w:cs="Times New Roman" w:eastAsia="Times New Roman" w:hAnsi="Times New Roman"/>
          <w:b/>
          <w:bCs/>
          <w:color w:val="000000"/>
        </w:rPr>
        <w:t xml:space="preserve"> SIA</w:t>
      </w:r>
      <w:r>
        <w:rPr>
          <w:rFonts w:ascii="Times New Roman" w:cs="Times New Roman" w:eastAsia="Times New Roman" w:hAnsi="Times New Roman"/>
          <w:b/>
          <w:color w:val="000000"/>
        </w:rPr>
        <w:t xml:space="preserve"> „ Latvijas Nacionālais sporta centrs”, </w:t>
      </w:r>
      <w:r>
        <w:rPr>
          <w:rFonts w:ascii="Times New Roman" w:cs="Times New Roman" w:eastAsia="Times New Roman" w:hAnsi="Times New Roman"/>
          <w:b/>
          <w:color w:val="000000"/>
        </w:rPr>
        <w:t>Augšiela</w:t>
      </w:r>
      <w:r>
        <w:rPr>
          <w:rFonts w:ascii="Times New Roman" w:cs="Times New Roman" w:eastAsia="Times New Roman" w:hAnsi="Times New Roman"/>
          <w:b/>
          <w:color w:val="000000"/>
        </w:rPr>
        <w:t xml:space="preserve"> 1, Rīga, LV-1009;</w:t>
      </w:r>
    </w:p>
    <w:p w14:paraId="00000037">
      <w:pPr>
        <w:numPr>
          <w:ilvl w:val="2"/>
          <w:numId w:val="2"/>
        </w:numPr>
        <w:pBdr>
          <w:top w:val="nil" w:sz="4" w:space="0"/>
          <w:left w:val="nil" w:sz="4" w:space="0"/>
          <w:bottom w:val="nil" w:sz="4" w:space="0"/>
          <w:right w:val="nil" w:sz="4" w:space="0"/>
          <w:between w:val="nil" w:sz="4" w:space="0"/>
        </w:pBdr>
        <w:spacing w:after="0"/>
        <w:jc w:val="both"/>
        <w:rPr>
          <w:rFonts w:ascii="Times New Roman" w:cs="Times New Roman" w:eastAsia="Times New Roman" w:hAnsi="Times New Roman"/>
          <w:b/>
          <w:color w:val="000000"/>
        </w:rPr>
      </w:pPr>
      <w:r>
        <w:rPr>
          <w:rFonts w:ascii="Times New Roman" w:cs="Times New Roman" w:eastAsia="Times New Roman" w:hAnsi="Times New Roman"/>
          <w:b/>
          <w:color w:val="000000"/>
        </w:rPr>
        <w:t xml:space="preserve"> „Nedzīvojamās telpas Nr.</w:t>
      </w:r>
      <w:r>
        <w:rPr>
          <w:rFonts w:ascii="Times New Roman" w:cs="Times New Roman" w:eastAsia="Times New Roman" w:hAnsi="Times New Roman"/>
          <w:b/>
          <w:color w:val="000000"/>
        </w:rPr>
        <w:t>22</w:t>
      </w:r>
      <w:r>
        <w:rPr>
          <w:rFonts w:ascii="Times New Roman" w:cs="Times New Roman" w:eastAsia="Times New Roman" w:hAnsi="Times New Roman"/>
          <w:b/>
          <w:color w:val="000000"/>
        </w:rPr>
        <w:t xml:space="preserve"> noma, kas atrodas Šveices ielā 13, Siguldā</w:t>
      </w:r>
      <w:r>
        <w:rPr>
          <w:rFonts w:ascii="Times New Roman" w:cs="Times New Roman" w:eastAsia="Times New Roman" w:hAnsi="Times New Roman"/>
          <w:b/>
          <w:color w:val="000000"/>
        </w:rPr>
        <w:t xml:space="preserve"> ar kopējo platību 17,5</w:t>
      </w:r>
      <w:r>
        <w:rPr>
          <w:rFonts w:ascii="Times New Roman" w:cs="Times New Roman" w:eastAsia="Times New Roman" w:hAnsi="Times New Roman"/>
          <w:b/>
          <w:color w:val="000000"/>
        </w:rPr>
        <w:t xml:space="preserve"> m2, izsoles identifikācijas Nr.1-17.2/29”</w:t>
      </w:r>
    </w:p>
    <w:p w14:paraId="00000038">
      <w:pPr>
        <w:numPr>
          <w:ilvl w:val="2"/>
          <w:numId w:val="2"/>
        </w:numPr>
        <w:pBdr>
          <w:top w:val="nil" w:sz="4" w:space="0"/>
          <w:left w:val="nil" w:sz="4" w:space="0"/>
          <w:bottom w:val="nil" w:sz="4" w:space="0"/>
          <w:right w:val="nil" w:sz="4" w:space="0"/>
          <w:between w:val="nil" w:sz="4" w:space="0"/>
        </w:pBdr>
        <w:spacing w:after="0"/>
        <w:jc w:val="both"/>
        <w:rPr>
          <w:rFonts w:ascii="Times New Roman" w:cs="Times New Roman" w:eastAsia="Times New Roman" w:hAnsi="Times New Roman"/>
          <w:b/>
          <w:bCs/>
          <w:color w:val="000000"/>
        </w:rPr>
      </w:pPr>
      <w:r>
        <w:rPr>
          <w:rFonts w:ascii="Times New Roman" w:cs="Times New Roman" w:eastAsia="Times New Roman" w:hAnsi="Times New Roman"/>
          <w:b/>
          <w:bCs/>
          <w:color w:val="000000"/>
        </w:rPr>
        <w:t>„Neatvērt pirms piedāvājumu atvēršanas sanāksmes”;</w:t>
      </w:r>
    </w:p>
    <w:p w14:paraId="00000039">
      <w:pPr>
        <w:numPr>
          <w:ilvl w:val="2"/>
          <w:numId w:val="2"/>
        </w:numPr>
        <w:pBdr>
          <w:top w:val="nil" w:sz="4" w:space="0"/>
          <w:left w:val="nil" w:sz="4" w:space="0"/>
          <w:bottom w:val="nil" w:sz="4" w:space="0"/>
          <w:right w:val="nil" w:sz="4" w:space="0"/>
          <w:between w:val="nil" w:sz="4" w:space="0"/>
        </w:pBdr>
        <w:spacing w:after="0"/>
        <w:jc w:val="both"/>
        <w:rPr>
          <w:rFonts w:ascii="Times New Roman" w:cs="Times New Roman" w:eastAsia="Times New Roman" w:hAnsi="Times New Roman"/>
          <w:b/>
          <w:bCs/>
          <w:color w:val="000000"/>
        </w:rPr>
      </w:pPr>
      <w:r>
        <w:rPr>
          <w:rFonts w:ascii="Times New Roman" w:cs="Times New Roman" w:eastAsia="Times New Roman" w:hAnsi="Times New Roman"/>
          <w:b/>
          <w:bCs/>
          <w:color w:val="000000"/>
        </w:rPr>
        <w:t>Pretendenta nosaukums un juridiskā/deklarētā dzīvesvietas adrese.</w:t>
      </w:r>
    </w:p>
    <w:p w14:paraId="0000003A">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Saņemtos piedāvājumus, Sabiedrības darbinieks reģistrē izsoles piedāvājumu reģistrācijas lapā to saņemšanas secībā, uz aploksnes norādot reģistrācijas numuru, saņemšanas datumu un laiku, apliecinot to ar parakstu.</w:t>
      </w:r>
    </w:p>
    <w:p w14:paraId="0000003B">
      <w:pPr>
        <w:numPr>
          <w:ilvl w:val="1"/>
          <w:numId w:val="4"/>
        </w:numPr>
        <w:pBdr>
          <w:top w:val="nil" w:sz="4" w:space="0"/>
          <w:left w:val="nil" w:sz="4" w:space="0"/>
          <w:bottom w:val="nil" w:sz="4" w:space="0"/>
          <w:right w:val="nil" w:sz="4" w:space="0"/>
          <w:between w:val="nil" w:sz="4" w:space="0"/>
        </w:pBdr>
        <w:spacing w:after="0"/>
        <w:ind w:left="426" w:hanging="568"/>
        <w:jc w:val="both"/>
        <w:rPr>
          <w:rFonts w:ascii="Times New Roman" w:cs="Times New Roman" w:eastAsia="Times New Roman" w:hAnsi="Times New Roman"/>
          <w:b/>
          <w:i/>
          <w:color w:val="000000"/>
        </w:rPr>
      </w:pPr>
      <w:r>
        <w:rPr>
          <w:rFonts w:ascii="Times New Roman" w:cs="Times New Roman" w:eastAsia="Times New Roman" w:hAnsi="Times New Roman"/>
          <w:color w:val="000000"/>
        </w:rPr>
        <w:t>Piedāvājumus, kas iesniegti pēc Nolikuma 4.1.punktā noteiktā termiņa, Komisija nereģistrē un neatvērtu atgriež atpakaļ iesniedzējiem.</w:t>
      </w:r>
    </w:p>
    <w:p w14:paraId="0000003C">
      <w:pPr>
        <w:numPr>
          <w:ilvl w:val="1"/>
          <w:numId w:val="4"/>
        </w:numPr>
        <w:pBdr>
          <w:top w:val="nil" w:sz="4" w:space="0"/>
          <w:left w:val="nil" w:sz="4" w:space="0"/>
          <w:bottom w:val="nil" w:sz="4" w:space="0"/>
          <w:right w:val="nil" w:sz="4" w:space="0"/>
          <w:between w:val="nil" w:sz="4" w:space="0"/>
        </w:pBdr>
        <w:spacing w:after="0"/>
        <w:ind w:left="426" w:hanging="568"/>
        <w:jc w:val="both"/>
        <w:rPr>
          <w:rFonts w:ascii="Times New Roman" w:cs="Times New Roman" w:eastAsia="Times New Roman" w:hAnsi="Times New Roman"/>
          <w:b/>
          <w:i/>
          <w:color w:val="000000"/>
        </w:rPr>
      </w:pPr>
      <w:r>
        <w:rPr>
          <w:rFonts w:ascii="Times New Roman" w:cs="Times New Roman" w:eastAsia="Times New Roman" w:hAnsi="Times New Roman"/>
          <w:color w:val="000000"/>
        </w:rPr>
        <w:t>Komisija piedāvājumus glabā neatvērtus līdz izsoles sākumam.</w:t>
      </w:r>
    </w:p>
    <w:p w14:paraId="0000003D">
      <w:pPr>
        <w:numPr>
          <w:ilvl w:val="1"/>
          <w:numId w:val="4"/>
        </w:numPr>
        <w:pBdr>
          <w:top w:val="nil" w:sz="4" w:space="0"/>
          <w:left w:val="nil" w:sz="4" w:space="0"/>
          <w:bottom w:val="nil" w:sz="4" w:space="0"/>
          <w:right w:val="nil" w:sz="4" w:space="0"/>
          <w:between w:val="nil" w:sz="4" w:space="0"/>
        </w:pBdr>
        <w:spacing w:after="0"/>
        <w:ind w:left="426" w:hanging="568"/>
        <w:jc w:val="both"/>
        <w:rPr>
          <w:rFonts w:ascii="Times New Roman" w:cs="Times New Roman" w:eastAsia="Times New Roman" w:hAnsi="Times New Roman"/>
          <w:b/>
          <w:i/>
          <w:color w:val="000000"/>
        </w:rPr>
      </w:pPr>
      <w:r>
        <w:rPr>
          <w:rFonts w:ascii="Times New Roman" w:cs="Times New Roman" w:eastAsia="Times New Roman" w:hAnsi="Times New Roman"/>
          <w:color w:val="000000"/>
        </w:rPr>
        <w:t>Ziņas par pretendentiem un to skaitu netiek izpaustas līdz izsoles sākumam.</w:t>
      </w:r>
    </w:p>
    <w:p w14:paraId="0000003E">
      <w:pPr>
        <w:pBdr>
          <w:top w:val="nil" w:sz="4" w:space="0"/>
          <w:left w:val="nil" w:sz="4" w:space="0"/>
          <w:bottom w:val="nil" w:sz="4" w:space="0"/>
          <w:right w:val="nil" w:sz="4" w:space="0"/>
          <w:between w:val="nil" w:sz="4" w:space="0"/>
        </w:pBdr>
        <w:spacing w:after="0"/>
        <w:ind w:left="426"/>
        <w:jc w:val="both"/>
        <w:rPr>
          <w:rFonts w:ascii="Times New Roman" w:cs="Times New Roman" w:eastAsia="Times New Roman" w:hAnsi="Times New Roman"/>
          <w:b/>
          <w:i/>
          <w:color w:val="000000"/>
        </w:rPr>
      </w:pPr>
    </w:p>
    <w:p w14:paraId="0000003F">
      <w:pPr>
        <w:numPr>
          <w:ilvl w:val="0"/>
          <w:numId w:val="4"/>
        </w:numPr>
        <w:pBdr>
          <w:top w:val="nil" w:sz="4" w:space="0"/>
          <w:left w:val="nil" w:sz="4" w:space="0"/>
          <w:bottom w:val="nil" w:sz="4" w:space="0"/>
          <w:right w:val="nil" w:sz="4" w:space="0"/>
          <w:between w:val="nil" w:sz="4" w:space="0"/>
        </w:pBdr>
        <w:spacing w:after="0"/>
        <w:jc w:val="center"/>
        <w:rPr>
          <w:rFonts w:ascii="Times New Roman" w:cs="Times New Roman" w:eastAsia="Times New Roman" w:hAnsi="Times New Roman"/>
          <w:b/>
          <w:color w:val="000000"/>
        </w:rPr>
      </w:pPr>
      <w:r>
        <w:rPr>
          <w:rFonts w:ascii="Times New Roman" w:cs="Times New Roman" w:eastAsia="Times New Roman" w:hAnsi="Times New Roman"/>
          <w:b/>
          <w:color w:val="000000"/>
        </w:rPr>
        <w:t>Izsoles  norises kārtība</w:t>
      </w:r>
    </w:p>
    <w:p w14:paraId="00000040">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Rakstiska izsole (pretendentu piedāvājumu atvēršana) notiks</w:t>
      </w:r>
      <w:r>
        <w:rPr>
          <w:rFonts w:ascii="Times New Roman" w:cs="Times New Roman" w:eastAsia="Times New Roman" w:hAnsi="Times New Roman"/>
        </w:rPr>
        <w:t xml:space="preserve"> </w:t>
      </w:r>
      <w:r>
        <w:rPr>
          <w:rFonts w:ascii="Times New Roman" w:cs="Times New Roman" w:eastAsia="Times New Roman" w:hAnsi="Times New Roman"/>
          <w:b/>
          <w:bCs/>
        </w:rPr>
        <w:t>11</w:t>
      </w:r>
      <w:r>
        <w:rPr>
          <w:rFonts w:ascii="Times New Roman" w:cs="Times New Roman" w:eastAsia="Times New Roman" w:hAnsi="Times New Roman"/>
          <w:b/>
          <w:bCs/>
        </w:rPr>
        <w:t>.</w:t>
      </w:r>
      <w:r>
        <w:rPr>
          <w:rFonts w:ascii="Times New Roman" w:cs="Times New Roman" w:eastAsia="Times New Roman" w:hAnsi="Times New Roman"/>
          <w:b/>
          <w:bCs/>
        </w:rPr>
        <w:t>04</w:t>
      </w:r>
      <w:r>
        <w:rPr>
          <w:rFonts w:ascii="Times New Roman" w:cs="Times New Roman" w:eastAsia="Times New Roman" w:hAnsi="Times New Roman"/>
          <w:b/>
          <w:bCs/>
        </w:rPr>
        <w:t>.2025</w:t>
      </w:r>
      <w:r>
        <w:rPr>
          <w:rFonts w:ascii="Times New Roman" w:cs="Times New Roman" w:eastAsia="Times New Roman" w:hAnsi="Times New Roman"/>
          <w:b/>
          <w:bCs/>
          <w:color w:val="000000"/>
        </w:rPr>
        <w:t>.</w:t>
      </w:r>
      <w:r>
        <w:rPr>
          <w:rFonts w:ascii="Times New Roman" w:cs="Times New Roman" w:eastAsia="Times New Roman" w:hAnsi="Times New Roman"/>
          <w:b/>
          <w:color w:val="000000"/>
        </w:rPr>
        <w:t xml:space="preserve"> plkst. 1</w:t>
      </w:r>
      <w:r>
        <w:rPr>
          <w:rFonts w:ascii="Times New Roman" w:cs="Times New Roman" w:eastAsia="Times New Roman" w:hAnsi="Times New Roman"/>
          <w:b/>
        </w:rPr>
        <w:t>1</w:t>
      </w:r>
      <w:r>
        <w:rPr>
          <w:rFonts w:ascii="Times New Roman" w:cs="Times New Roman" w:eastAsia="Times New Roman" w:hAnsi="Times New Roman"/>
          <w:b/>
        </w:rPr>
        <w:t>:05</w:t>
      </w:r>
      <w:r>
        <w:rPr>
          <w:rFonts w:ascii="Times New Roman" w:cs="Times New Roman" w:eastAsia="Times New Roman" w:hAnsi="Times New Roman"/>
          <w:b/>
          <w:color w:val="000000"/>
        </w:rPr>
        <w:t>.</w:t>
      </w:r>
      <w:r>
        <w:rPr>
          <w:rFonts w:ascii="Times New Roman" w:cs="Times New Roman" w:eastAsia="Times New Roman" w:hAnsi="Times New Roman"/>
          <w:color w:val="000000"/>
        </w:rPr>
        <w:t xml:space="preserve"> </w:t>
      </w:r>
      <w:r>
        <w:rPr>
          <w:rFonts w:ascii="Times New Roman" w:cs="Times New Roman" w:eastAsia="Times New Roman" w:hAnsi="Times New Roman"/>
          <w:color w:val="000000"/>
        </w:rPr>
        <w:t>Augšielā</w:t>
      </w:r>
      <w:r>
        <w:rPr>
          <w:rFonts w:ascii="Times New Roman" w:cs="Times New Roman" w:eastAsia="Times New Roman" w:hAnsi="Times New Roman"/>
          <w:color w:val="000000"/>
        </w:rPr>
        <w:t xml:space="preserve"> 1, Rīgā, Sabiedrības Administrācijas telpās vai </w:t>
      </w:r>
      <w:r>
        <w:rPr>
          <w:rFonts w:ascii="Times New Roman" w:cs="Times New Roman" w:eastAsia="Times New Roman" w:hAnsi="Times New Roman"/>
          <w:color w:val="000000"/>
        </w:rPr>
        <w:t>Šveices ielā 13, Siguldā, Sabiedrības struktūrvienības “Bobsleja un kamaniņu trase “Sigulda”” telpās</w:t>
      </w:r>
      <w:r>
        <w:rPr>
          <w:rFonts w:ascii="Times New Roman" w:cs="Times New Roman" w:eastAsia="Times New Roman" w:hAnsi="Times New Roman"/>
          <w:color w:val="000000"/>
        </w:rPr>
        <w:t>.</w:t>
      </w:r>
    </w:p>
    <w:p w14:paraId="00000041">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Piedāvājumu atvēršanas sanāksme ir atklāta un tajā var piedalīties visas ieinteresētās personas.</w:t>
      </w:r>
    </w:p>
    <w:p w14:paraId="00000042">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Piedāvājumu atvēršanas sēde tiek protokolēta.</w:t>
      </w:r>
    </w:p>
    <w:p w14:paraId="00000043">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Atklājot piedāvājumu atvēršanu, Komisijas priekšsēdētājs nosauc izsoles objekta adresi un sastāvu, paziņo izsoles sākumcenu un informē par izsoles kārtību.</w:t>
      </w:r>
    </w:p>
    <w:p w14:paraId="00000044">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 xml:space="preserve">Komisijas priekšsēdētājs, atverot katru piedāvājumu to iesniegšanas secībā, nosauc nomas tiesību pretendentu, piedāvājuma iesniegšanas datumu un laiku, kā arī nomas tiesību pretendenta piedāvāto nomas maksas apmēru. </w:t>
      </w:r>
    </w:p>
    <w:p w14:paraId="00000045">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color w:val="000000"/>
        </w:rPr>
      </w:pPr>
      <w:r>
        <w:rPr>
          <w:rFonts w:ascii="Times New Roman" w:cs="Times New Roman" w:eastAsia="Times New Roman" w:hAnsi="Times New Roman"/>
          <w:color w:val="000000"/>
        </w:rPr>
        <w:t xml:space="preserve">Pretendentu piedāvājumu atbilstības pārbaudi Nolikuma prasībām Komisija veic slēgtā sēdes daļā.  Par izsoles rezultātiem visi pretendenti tiek informēti </w:t>
      </w:r>
      <w:r>
        <w:rPr>
          <w:rFonts w:ascii="Times New Roman" w:cs="Times New Roman" w:eastAsia="Times New Roman" w:hAnsi="Times New Roman"/>
          <w:color w:val="000000"/>
        </w:rPr>
        <w:t>rakstveidā</w:t>
      </w:r>
      <w:r>
        <w:rPr>
          <w:rFonts w:ascii="Times New Roman" w:cs="Times New Roman" w:eastAsia="Times New Roman" w:hAnsi="Times New Roman"/>
          <w:color w:val="000000"/>
        </w:rPr>
        <w:t xml:space="preserve"> 3 (trīs) darba dienu laikā pēc lēmuma par izsoles uzvarētāju pieņemšanas.</w:t>
      </w:r>
    </w:p>
    <w:p w14:paraId="00000046">
      <w:pPr>
        <w:numPr>
          <w:ilvl w:val="1"/>
          <w:numId w:val="4"/>
        </w:numPr>
        <w:pBdr>
          <w:top w:val="nil" w:sz="4" w:space="0"/>
          <w:left w:val="nil" w:sz="4" w:space="0"/>
          <w:bottom w:val="nil" w:sz="4" w:space="0"/>
          <w:right w:val="nil" w:sz="4" w:space="0"/>
          <w:between w:val="nil" w:sz="4" w:space="0"/>
        </w:pBdr>
        <w:tabs>
          <w:tab w:val="left" w:pos="426"/>
          <w:tab w:val="left" w:pos="851"/>
        </w:tabs>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Komisija ir tiesīga pieņemt lēmumu par nomas tiesību pretendenta izslēgšanu no dalības rakstiskā izsolē un nomas pieteikumu tālāk neizskata, ja:</w:t>
      </w:r>
    </w:p>
    <w:p w14:paraId="00000047">
      <w:pPr>
        <w:numPr>
          <w:ilvl w:val="2"/>
          <w:numId w:val="1"/>
        </w:numPr>
        <w:pBdr>
          <w:top w:val="nil" w:sz="4" w:space="0"/>
          <w:left w:val="nil" w:sz="4" w:space="0"/>
          <w:bottom w:val="nil" w:sz="4" w:space="0"/>
          <w:right w:val="nil" w:sz="4" w:space="0"/>
          <w:between w:val="nil" w:sz="4" w:space="0"/>
        </w:pBdr>
        <w:spacing w:after="0"/>
        <w:ind w:left="993" w:hanging="567"/>
        <w:jc w:val="both"/>
        <w:rPr>
          <w:rFonts w:ascii="Times New Roman" w:cs="Times New Roman" w:eastAsia="Times New Roman" w:hAnsi="Times New Roman"/>
          <w:b/>
          <w:i/>
          <w:color w:val="000000"/>
        </w:rPr>
      </w:pPr>
      <w:r>
        <w:rPr>
          <w:rFonts w:ascii="Times New Roman" w:cs="Times New Roman" w:eastAsia="Times New Roman" w:hAnsi="Times New Roman"/>
          <w:color w:val="000000"/>
        </w:rPr>
        <w:t>ja piedāvājums nav noformēts atbilstoši Nolikuma 4.2.punktam vai piedāvājumā iztrūkst pieprasītā informācija;</w:t>
      </w:r>
    </w:p>
    <w:p w14:paraId="00000048">
      <w:pPr>
        <w:numPr>
          <w:ilvl w:val="2"/>
          <w:numId w:val="1"/>
        </w:numPr>
        <w:pBdr>
          <w:top w:val="nil" w:sz="4" w:space="0"/>
          <w:left w:val="nil" w:sz="4" w:space="0"/>
          <w:bottom w:val="nil" w:sz="4" w:space="0"/>
          <w:right w:val="nil" w:sz="4" w:space="0"/>
          <w:between w:val="nil" w:sz="4" w:space="0"/>
        </w:pBdr>
        <w:spacing w:after="0"/>
        <w:ind w:left="993" w:hanging="567"/>
        <w:jc w:val="both"/>
        <w:rPr>
          <w:rFonts w:ascii="Times New Roman" w:cs="Times New Roman" w:eastAsia="Times New Roman" w:hAnsi="Times New Roman"/>
          <w:b/>
          <w:i/>
          <w:color w:val="000000"/>
        </w:rPr>
      </w:pPr>
      <w:r>
        <w:rPr>
          <w:rFonts w:ascii="Times New Roman" w:cs="Times New Roman" w:eastAsia="Times New Roman" w:hAnsi="Times New Roman"/>
          <w:color w:val="000000"/>
        </w:rPr>
        <w:t>ja piedāvātais nomas maksas apmērs ir mazāks par Nolikuma 2.3.punktā noteikto izsoles sākumcenu;</w:t>
      </w:r>
    </w:p>
    <w:p w14:paraId="00000049">
      <w:pPr>
        <w:numPr>
          <w:ilvl w:val="2"/>
          <w:numId w:val="1"/>
        </w:numPr>
        <w:pBdr>
          <w:top w:val="nil" w:sz="4" w:space="0"/>
          <w:left w:val="nil" w:sz="4" w:space="0"/>
          <w:bottom w:val="nil" w:sz="4" w:space="0"/>
          <w:right w:val="nil" w:sz="4" w:space="0"/>
          <w:between w:val="nil" w:sz="4" w:space="0"/>
        </w:pBdr>
        <w:spacing w:after="0"/>
        <w:ind w:left="993" w:hanging="567"/>
        <w:jc w:val="both"/>
        <w:rPr>
          <w:rFonts w:ascii="Times New Roman" w:cs="Times New Roman" w:eastAsia="Times New Roman" w:hAnsi="Times New Roman"/>
          <w:b/>
          <w:i/>
          <w:color w:val="000000"/>
        </w:rPr>
      </w:pPr>
      <w:r>
        <w:rPr>
          <w:rFonts w:ascii="Times New Roman" w:cs="Times New Roman" w:eastAsia="Times New Roman" w:hAnsi="Times New Roman"/>
          <w:color w:val="000000"/>
        </w:rPr>
        <w:t>ja pretendents ir iesniedzis nepatiesu informāciju;</w:t>
      </w:r>
    </w:p>
    <w:p w14:paraId="0000004A">
      <w:pPr>
        <w:numPr>
          <w:ilvl w:val="2"/>
          <w:numId w:val="1"/>
        </w:numPr>
        <w:pBdr>
          <w:top w:val="nil" w:sz="4" w:space="0"/>
          <w:left w:val="nil" w:sz="4" w:space="0"/>
          <w:bottom w:val="nil" w:sz="4" w:space="0"/>
          <w:right w:val="nil" w:sz="4" w:space="0"/>
          <w:between w:val="nil" w:sz="4" w:space="0"/>
        </w:pBdr>
        <w:spacing w:after="0"/>
        <w:ind w:left="993" w:hanging="567"/>
        <w:jc w:val="both"/>
        <w:rPr>
          <w:rFonts w:ascii="Times New Roman" w:cs="Times New Roman" w:eastAsia="Times New Roman" w:hAnsi="Times New Roman"/>
          <w:b/>
          <w:i/>
          <w:color w:val="000000"/>
        </w:rPr>
      </w:pPr>
      <w:r>
        <w:rPr>
          <w:rFonts w:ascii="Times New Roman" w:cs="Times New Roman" w:eastAsia="Times New Roman" w:hAnsi="Times New Roman"/>
          <w:color w:val="000000"/>
        </w:rPr>
        <w:t>ja pieteikumu ir parakstījusi personas bez pretendenta pārstāvības tiesībām;</w:t>
      </w:r>
    </w:p>
    <w:p w14:paraId="0000004B">
      <w:pPr>
        <w:numPr>
          <w:ilvl w:val="2"/>
          <w:numId w:val="1"/>
        </w:numPr>
        <w:pBdr>
          <w:top w:val="nil" w:sz="4" w:space="0"/>
          <w:left w:val="nil" w:sz="4" w:space="0"/>
          <w:bottom w:val="nil" w:sz="4" w:space="0"/>
          <w:right w:val="nil" w:sz="4" w:space="0"/>
          <w:between w:val="nil" w:sz="4" w:space="0"/>
        </w:pBdr>
        <w:spacing w:after="0"/>
        <w:ind w:left="993" w:hanging="567"/>
        <w:jc w:val="both"/>
        <w:rPr>
          <w:rFonts w:ascii="Times New Roman" w:cs="Times New Roman" w:eastAsia="Times New Roman" w:hAnsi="Times New Roman"/>
          <w:b/>
          <w:i/>
          <w:color w:val="000000"/>
        </w:rPr>
      </w:pPr>
      <w:r>
        <w:rPr>
          <w:rFonts w:ascii="Times New Roman" w:cs="Times New Roman" w:eastAsia="Times New Roman" w:hAnsi="Times New Roman"/>
          <w:color w:val="000000"/>
        </w:rPr>
        <w:t>ja pret pretendentu ir ierosināta maksātnespēja, pretendents atrodas bankrota, likvidācijas stadijā, pretendenta saimnieciskā darbība ir apturēta vai izbeigta;</w:t>
      </w:r>
    </w:p>
    <w:p w14:paraId="0000004C">
      <w:pPr>
        <w:numPr>
          <w:ilvl w:val="2"/>
          <w:numId w:val="1"/>
        </w:numPr>
        <w:pBdr>
          <w:top w:val="nil" w:sz="4" w:space="0"/>
          <w:left w:val="nil" w:sz="4" w:space="0"/>
          <w:bottom w:val="nil" w:sz="4" w:space="0"/>
          <w:right w:val="nil" w:sz="4" w:space="0"/>
          <w:between w:val="nil" w:sz="4" w:space="0"/>
        </w:pBdr>
        <w:spacing w:after="0"/>
        <w:ind w:left="993" w:hanging="567"/>
        <w:jc w:val="both"/>
        <w:rPr>
          <w:rFonts w:ascii="Times New Roman" w:cs="Times New Roman" w:eastAsia="Times New Roman" w:hAnsi="Times New Roman"/>
          <w:b/>
          <w:i/>
          <w:color w:val="000000"/>
        </w:rPr>
      </w:pPr>
      <w:r>
        <w:rPr>
          <w:rFonts w:ascii="Times New Roman" w:cs="Times New Roman" w:eastAsia="Times New Roman" w:hAnsi="Times New Roman"/>
          <w:color w:val="000000"/>
        </w:rPr>
        <w:t xml:space="preserve">pretendentam ir Valsts ieņēmumu dienesta administrēto nodokļu (nodevu) parādi un to summa pārsniedz EUR 150,00 (viens simts piecdesmit </w:t>
      </w:r>
      <w:r>
        <w:rPr>
          <w:rFonts w:ascii="Times New Roman" w:cs="Times New Roman" w:eastAsia="Times New Roman" w:hAnsi="Times New Roman"/>
          <w:color w:val="000000"/>
        </w:rPr>
        <w:t>euro</w:t>
      </w:r>
      <w:r>
        <w:rPr>
          <w:rFonts w:ascii="Times New Roman" w:cs="Times New Roman" w:eastAsia="Times New Roman" w:hAnsi="Times New Roman"/>
          <w:color w:val="000000"/>
        </w:rPr>
        <w:t xml:space="preserve"> un 00 centi);</w:t>
      </w:r>
    </w:p>
    <w:p w14:paraId="0000004D">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color w:val="000000"/>
        </w:rPr>
      </w:pPr>
      <w:r>
        <w:rPr>
          <w:rFonts w:ascii="Times New Roman" w:cs="Times New Roman" w:eastAsia="Times New Roman" w:hAnsi="Times New Roman"/>
          <w:color w:val="000000"/>
        </w:rPr>
        <w:t>Par izsoles uzvarētāju tiek atzīts pretendents, kura piedāvājums atbilst Nolikuma prasībām un kurš ir nosolījis augstāko nomas maksu.</w:t>
      </w:r>
    </w:p>
    <w:p w14:paraId="0000004E">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color w:val="000000"/>
        </w:rPr>
      </w:pPr>
      <w:r>
        <w:rPr>
          <w:rFonts w:ascii="Times New Roman" w:cs="Times New Roman" w:eastAsia="Times New Roman" w:hAnsi="Times New Roman"/>
          <w:color w:val="000000"/>
        </w:rPr>
        <w:t>Ja pēc visu piedāvājumu atvēršanas Komisija konstatē, ka vairāki pretendenti piedāvājuši vienādu augstāko nomas maksu, Komisija veic vienu no šādām darbībām:</w:t>
      </w:r>
    </w:p>
    <w:p w14:paraId="0000004F">
      <w:pPr>
        <w:numPr>
          <w:ilvl w:val="2"/>
          <w:numId w:val="5"/>
        </w:numPr>
        <w:pBdr>
          <w:top w:val="nil" w:sz="4" w:space="0"/>
          <w:left w:val="nil" w:sz="4" w:space="0"/>
          <w:bottom w:val="nil" w:sz="4" w:space="0"/>
          <w:right w:val="nil" w:sz="4" w:space="0"/>
          <w:between w:val="nil" w:sz="4" w:space="0"/>
        </w:pBdr>
        <w:spacing w:after="0"/>
        <w:ind w:left="1276" w:hanging="556"/>
        <w:jc w:val="both"/>
        <w:rPr>
          <w:rFonts w:ascii="Times New Roman" w:cs="Times New Roman" w:eastAsia="Times New Roman" w:hAnsi="Times New Roman"/>
          <w:b/>
          <w:i/>
          <w:color w:val="000000"/>
        </w:rPr>
      </w:pPr>
      <w:r>
        <w:rPr>
          <w:rFonts w:ascii="Times New Roman" w:cs="Times New Roman" w:eastAsia="Times New Roman" w:hAnsi="Times New Roman"/>
          <w:color w:val="000000"/>
        </w:rPr>
        <w:t>turpina izsoli, pieņemot rakstiskus piedāvājumus no pretendentiem vai to pārstāvjiem, kas piedāvājuši vienādu augstāko nomas maksu, ja tie piedalās piedāvājumu atvēršanā, un organizē tūlītēju piedāvājumu atvēršanu;</w:t>
      </w:r>
    </w:p>
    <w:p w14:paraId="00000050">
      <w:pPr>
        <w:numPr>
          <w:ilvl w:val="2"/>
          <w:numId w:val="5"/>
        </w:numPr>
        <w:pBdr>
          <w:top w:val="nil" w:sz="4" w:space="0"/>
          <w:left w:val="nil" w:sz="4" w:space="0"/>
          <w:bottom w:val="nil" w:sz="4" w:space="0"/>
          <w:right w:val="nil" w:sz="4" w:space="0"/>
          <w:between w:val="nil" w:sz="4" w:space="0"/>
        </w:pBdr>
        <w:spacing w:after="0"/>
        <w:ind w:left="1276" w:hanging="556"/>
        <w:jc w:val="both"/>
        <w:rPr>
          <w:rFonts w:ascii="Times New Roman" w:cs="Times New Roman" w:eastAsia="Times New Roman" w:hAnsi="Times New Roman"/>
          <w:b/>
          <w:i/>
          <w:color w:val="000000"/>
        </w:rPr>
      </w:pPr>
      <w:r>
        <w:rPr>
          <w:rFonts w:ascii="Times New Roman" w:cs="Times New Roman" w:eastAsia="Times New Roman" w:hAnsi="Times New Roman"/>
          <w:color w:val="000000"/>
        </w:rPr>
        <w:t>gadījumā, ja kāds no pretendentiem, kurš piedāvājis vienādu augstāko nomas maksu, nepiedalās izsolē, Komisija rakstiski lūdz pretendentiem, kuri piedāvājuši vienādu augstāko noma maksu, iesniegt savu piedāvājumu par iespējami augstāko nomas maksu, ievērojot Nolikuma 2.4.punktā minēto minimālo soli un nosaka piedāvājumu iesniegšanas un atvēršanas datumu, laiku un vietu.</w:t>
      </w:r>
    </w:p>
    <w:p w14:paraId="00000051">
      <w:pPr>
        <w:numPr>
          <w:ilvl w:val="1"/>
          <w:numId w:val="4"/>
        </w:numPr>
        <w:pBdr>
          <w:top w:val="nil" w:sz="4" w:space="0"/>
          <w:left w:val="nil" w:sz="4" w:space="0"/>
          <w:bottom w:val="nil" w:sz="4" w:space="0"/>
          <w:right w:val="nil" w:sz="4" w:space="0"/>
          <w:between w:val="nil" w:sz="4" w:space="0"/>
        </w:pBdr>
        <w:spacing w:after="0"/>
        <w:ind w:left="426" w:hanging="568"/>
        <w:jc w:val="both"/>
        <w:rPr>
          <w:rFonts w:ascii="Times New Roman" w:cs="Times New Roman" w:eastAsia="Times New Roman" w:hAnsi="Times New Roman"/>
          <w:b/>
          <w:i/>
          <w:color w:val="000000"/>
        </w:rPr>
      </w:pPr>
      <w:r>
        <w:rPr>
          <w:rFonts w:ascii="Times New Roman" w:cs="Times New Roman" w:eastAsia="Times New Roman" w:hAnsi="Times New Roman"/>
          <w:color w:val="000000"/>
        </w:rPr>
        <w:t>Ja neviens no nomas tiesību pretendentiem, kuri piedāvājuši augstāko nomas maksu, neiesniedz jaunu piedāvājumu par augstāko nomas maksu, tad Komisija piedāvājumu iesniegšanas secībā rakstiski piedāvā šiem pretendentiem slēgt nomas līgumu atbilstoši nosolītajai nomas maksai.</w:t>
      </w:r>
    </w:p>
    <w:p w14:paraId="00000052">
      <w:pPr>
        <w:numPr>
          <w:ilvl w:val="1"/>
          <w:numId w:val="4"/>
        </w:numPr>
        <w:pBdr>
          <w:top w:val="nil" w:sz="4" w:space="0"/>
          <w:left w:val="nil" w:sz="4" w:space="0"/>
          <w:bottom w:val="nil" w:sz="4" w:space="0"/>
          <w:right w:val="nil" w:sz="4" w:space="0"/>
          <w:between w:val="nil" w:sz="4" w:space="0"/>
        </w:pBdr>
        <w:spacing w:after="0"/>
        <w:ind w:left="426" w:hanging="568"/>
        <w:jc w:val="both"/>
        <w:rPr>
          <w:rFonts w:ascii="Times New Roman" w:cs="Times New Roman" w:eastAsia="Times New Roman" w:hAnsi="Times New Roman"/>
          <w:b/>
          <w:i/>
          <w:color w:val="000000"/>
        </w:rPr>
      </w:pPr>
      <w:r>
        <w:rPr>
          <w:rFonts w:ascii="Times New Roman" w:cs="Times New Roman" w:eastAsia="Times New Roman" w:hAnsi="Times New Roman"/>
          <w:color w:val="000000"/>
        </w:rPr>
        <w:t>Ja visu Pretendentu iesniegtie piedāvājumi neatbilst šīs izsoles Nolikuma prasībām, izsole ir izbeidzama bez rezultāta.</w:t>
      </w:r>
    </w:p>
    <w:p w14:paraId="00000053">
      <w:pPr>
        <w:numPr>
          <w:ilvl w:val="1"/>
          <w:numId w:val="4"/>
        </w:numPr>
        <w:pBdr>
          <w:top w:val="nil" w:sz="4" w:space="0"/>
          <w:left w:val="nil" w:sz="4" w:space="0"/>
          <w:bottom w:val="nil" w:sz="4" w:space="0"/>
          <w:right w:val="nil" w:sz="4" w:space="0"/>
          <w:between w:val="nil" w:sz="4" w:space="0"/>
        </w:pBdr>
        <w:spacing w:after="0"/>
        <w:ind w:left="426" w:hanging="568"/>
        <w:jc w:val="both"/>
        <w:rPr>
          <w:rFonts w:ascii="Times New Roman" w:cs="Times New Roman" w:eastAsia="Times New Roman" w:hAnsi="Times New Roman"/>
          <w:b/>
          <w:i/>
          <w:color w:val="000000"/>
        </w:rPr>
      </w:pPr>
      <w:r>
        <w:rPr>
          <w:rFonts w:ascii="Times New Roman" w:cs="Times New Roman" w:eastAsia="Times New Roman" w:hAnsi="Times New Roman"/>
          <w:color w:val="000000"/>
        </w:rPr>
        <w:t>Izsole tiek uzskatīta par nenotikušu, ja:</w:t>
      </w:r>
    </w:p>
    <w:p w14:paraId="00000054">
      <w:pPr>
        <w:numPr>
          <w:ilvl w:val="2"/>
          <w:numId w:val="3"/>
        </w:numPr>
        <w:pBdr>
          <w:top w:val="nil" w:sz="4" w:space="0"/>
          <w:left w:val="nil" w:sz="4" w:space="0"/>
          <w:bottom w:val="nil" w:sz="4" w:space="0"/>
          <w:right w:val="nil" w:sz="4" w:space="0"/>
          <w:between w:val="nil" w:sz="4" w:space="0"/>
        </w:pBdr>
        <w:spacing w:after="0"/>
        <w:jc w:val="both"/>
        <w:rPr>
          <w:rFonts w:ascii="Times New Roman" w:cs="Times New Roman" w:eastAsia="Times New Roman" w:hAnsi="Times New Roman"/>
          <w:color w:val="000000"/>
        </w:rPr>
      </w:pPr>
      <w:r>
        <w:rPr>
          <w:rFonts w:ascii="Times New Roman" w:cs="Times New Roman" w:eastAsia="Times New Roman" w:hAnsi="Times New Roman"/>
          <w:color w:val="000000"/>
        </w:rPr>
        <w:t>neviens pretendents nav iesniedzis pieteikumu;</w:t>
      </w:r>
    </w:p>
    <w:p w14:paraId="00000055">
      <w:pPr>
        <w:numPr>
          <w:ilvl w:val="2"/>
          <w:numId w:val="3"/>
        </w:numPr>
        <w:pBdr>
          <w:top w:val="nil" w:sz="4" w:space="0"/>
          <w:left w:val="nil" w:sz="4" w:space="0"/>
          <w:bottom w:val="nil" w:sz="4" w:space="0"/>
          <w:right w:val="nil" w:sz="4" w:space="0"/>
          <w:between w:val="nil" w:sz="4" w:space="0"/>
        </w:pBdr>
        <w:spacing w:after="0"/>
        <w:ind w:left="1418" w:hanging="698"/>
        <w:jc w:val="both"/>
        <w:rPr>
          <w:rFonts w:ascii="Times New Roman" w:cs="Times New Roman" w:eastAsia="Times New Roman" w:hAnsi="Times New Roman"/>
          <w:color w:val="000000"/>
        </w:rPr>
      </w:pPr>
      <w:r>
        <w:rPr>
          <w:rFonts w:ascii="Times New Roman" w:cs="Times New Roman" w:eastAsia="Times New Roman" w:hAnsi="Times New Roman"/>
          <w:color w:val="000000"/>
        </w:rPr>
        <w:t>ja neviens no pretendentiem, kurš ieguvis tiesības slēgt nomas līgumu, nenoslēdz to noteiktajā termiņā;</w:t>
      </w:r>
    </w:p>
    <w:p w14:paraId="00000056">
      <w:pPr>
        <w:numPr>
          <w:ilvl w:val="2"/>
          <w:numId w:val="3"/>
        </w:numPr>
        <w:pBdr>
          <w:top w:val="nil" w:sz="4" w:space="0"/>
          <w:left w:val="nil" w:sz="4" w:space="0"/>
          <w:bottom w:val="nil" w:sz="4" w:space="0"/>
          <w:right w:val="nil" w:sz="4" w:space="0"/>
          <w:between w:val="nil" w:sz="4" w:space="0"/>
        </w:pBdr>
        <w:spacing w:after="0"/>
        <w:jc w:val="both"/>
        <w:rPr>
          <w:rFonts w:ascii="Times New Roman" w:cs="Times New Roman" w:eastAsia="Times New Roman" w:hAnsi="Times New Roman"/>
          <w:color w:val="000000"/>
        </w:rPr>
      </w:pPr>
      <w:r>
        <w:rPr>
          <w:rFonts w:ascii="Times New Roman" w:cs="Times New Roman" w:eastAsia="Times New Roman" w:hAnsi="Times New Roman"/>
          <w:color w:val="000000"/>
        </w:rPr>
        <w:t>ja nomas tiesības iegūst pretendents, kuram nav bijušas tiesības piedalīties izsolē.</w:t>
      </w:r>
    </w:p>
    <w:p w14:paraId="00000057">
      <w:pPr>
        <w:numPr>
          <w:ilvl w:val="1"/>
          <w:numId w:val="4"/>
        </w:numPr>
        <w:pBdr>
          <w:top w:val="nil" w:sz="4" w:space="0"/>
          <w:left w:val="nil" w:sz="4" w:space="0"/>
          <w:bottom w:val="nil" w:sz="4" w:space="0"/>
          <w:right w:val="nil" w:sz="4" w:space="0"/>
          <w:between w:val="nil" w:sz="4" w:space="0"/>
        </w:pBdr>
        <w:spacing w:after="0"/>
        <w:ind w:left="426" w:hanging="568"/>
        <w:jc w:val="both"/>
        <w:rPr>
          <w:rFonts w:ascii="Times New Roman" w:cs="Times New Roman" w:eastAsia="Times New Roman" w:hAnsi="Times New Roman"/>
          <w:b/>
          <w:i/>
          <w:color w:val="000000"/>
        </w:rPr>
      </w:pPr>
      <w:r>
        <w:rPr>
          <w:rFonts w:ascii="Times New Roman" w:cs="Times New Roman" w:eastAsia="Times New Roman" w:hAnsi="Times New Roman"/>
          <w:color w:val="000000"/>
        </w:rPr>
        <w:t>Ja izsolei piesakās tikai viens pretendents un tā iesniegtais piedāvājums atbilst Nolikuma prasībām, izsoli atzīt par notikušu un ar vienīgo izsoles pretendentu, ja piedāvātā nomas maksa nav mazāka par izsoles sākumcenu, slēdz nomas līgumu.</w:t>
      </w:r>
    </w:p>
    <w:p w14:paraId="00000058">
      <w:pPr>
        <w:numPr>
          <w:ilvl w:val="1"/>
          <w:numId w:val="4"/>
        </w:numPr>
        <w:pBdr>
          <w:top w:val="nil" w:sz="4" w:space="0"/>
          <w:left w:val="nil" w:sz="4" w:space="0"/>
          <w:bottom w:val="nil" w:sz="4" w:space="0"/>
          <w:right w:val="nil" w:sz="4" w:space="0"/>
          <w:between w:val="nil" w:sz="4" w:space="0"/>
        </w:pBdr>
        <w:spacing w:after="0"/>
        <w:ind w:left="426" w:hanging="568"/>
        <w:jc w:val="both"/>
        <w:rPr>
          <w:rFonts w:ascii="Times New Roman" w:cs="Times New Roman" w:eastAsia="Times New Roman" w:hAnsi="Times New Roman"/>
          <w:b/>
          <w:i/>
          <w:color w:val="000000"/>
        </w:rPr>
      </w:pPr>
      <w:r>
        <w:rPr>
          <w:rFonts w:ascii="Times New Roman" w:cs="Times New Roman" w:eastAsia="Times New Roman" w:hAnsi="Times New Roman"/>
          <w:color w:val="000000"/>
        </w:rPr>
        <w:t>Komisijai ir tiesības pārtraukt izsoli, ja tiek iegūta pietiekama informācija un pārliecība, ka pastāv noruna kādu atturēt no piedalīšanās izsolē vai starp pretendentiem pastāv vienošanās, kas var ietekmēt izsoles rezultātus vai gaitu.</w:t>
      </w:r>
    </w:p>
    <w:p w14:paraId="00000059">
      <w:pPr>
        <w:numPr>
          <w:ilvl w:val="1"/>
          <w:numId w:val="4"/>
        </w:numPr>
        <w:pBdr>
          <w:top w:val="nil" w:sz="4" w:space="0"/>
          <w:left w:val="nil" w:sz="4" w:space="0"/>
          <w:bottom w:val="nil" w:sz="4" w:space="0"/>
          <w:right w:val="nil" w:sz="4" w:space="0"/>
          <w:between w:val="nil" w:sz="4" w:space="0"/>
        </w:pBdr>
        <w:spacing w:after="0"/>
        <w:ind w:left="426" w:hanging="568"/>
        <w:jc w:val="both"/>
        <w:rPr>
          <w:rFonts w:ascii="Times New Roman" w:cs="Times New Roman" w:eastAsia="Times New Roman" w:hAnsi="Times New Roman"/>
          <w:b/>
          <w:i/>
          <w:color w:val="000000"/>
        </w:rPr>
      </w:pPr>
      <w:r>
        <w:rPr>
          <w:rFonts w:ascii="Times New Roman" w:cs="Times New Roman" w:eastAsia="Times New Roman" w:hAnsi="Times New Roman"/>
          <w:color w:val="000000"/>
        </w:rPr>
        <w:t>Komisija patur tiesības jebkurā brīdī pārtraukt izsoli, ja tā konstatē jebkādas nepilnības Nolikumā.</w:t>
      </w:r>
    </w:p>
    <w:p w14:paraId="0000005A">
      <w:pPr>
        <w:numPr>
          <w:ilvl w:val="1"/>
          <w:numId w:val="4"/>
        </w:numPr>
        <w:pBdr>
          <w:top w:val="nil" w:sz="4" w:space="0"/>
          <w:left w:val="nil" w:sz="4" w:space="0"/>
          <w:bottom w:val="nil" w:sz="4" w:space="0"/>
          <w:right w:val="nil" w:sz="4" w:space="0"/>
          <w:between w:val="nil" w:sz="4" w:space="0"/>
        </w:pBdr>
        <w:spacing w:after="0"/>
        <w:ind w:left="426" w:hanging="568"/>
        <w:jc w:val="both"/>
        <w:rPr>
          <w:rFonts w:ascii="Times New Roman" w:cs="Times New Roman" w:eastAsia="Times New Roman" w:hAnsi="Times New Roman"/>
          <w:b/>
          <w:i/>
          <w:color w:val="000000"/>
        </w:rPr>
      </w:pPr>
      <w:r>
        <w:rPr>
          <w:rFonts w:ascii="Times New Roman" w:cs="Times New Roman" w:eastAsia="Times New Roman" w:hAnsi="Times New Roman"/>
          <w:color w:val="000000"/>
        </w:rPr>
        <w:t>Pēc lēmuma pieņemšanas par izsoles uzvarētāju, Sabiedrība paziņo izsoles rezultātus visiem pretendentiem, nosūtot rakstisku paziņojumu.</w:t>
      </w:r>
    </w:p>
    <w:p w14:paraId="0000005B">
      <w:pPr>
        <w:spacing w:after="0"/>
        <w:jc w:val="both"/>
        <w:rPr>
          <w:rFonts w:ascii="Times New Roman" w:cs="Times New Roman" w:eastAsia="Times New Roman" w:hAnsi="Times New Roman"/>
          <w:b/>
          <w:i/>
        </w:rPr>
      </w:pPr>
    </w:p>
    <w:p w14:paraId="0000005C">
      <w:pPr>
        <w:numPr>
          <w:ilvl w:val="0"/>
          <w:numId w:val="4"/>
        </w:numPr>
        <w:pBdr>
          <w:top w:val="nil" w:sz="4" w:space="0"/>
          <w:left w:val="nil" w:sz="4" w:space="0"/>
          <w:bottom w:val="nil" w:sz="4" w:space="0"/>
          <w:right w:val="nil" w:sz="4" w:space="0"/>
          <w:between w:val="nil" w:sz="4" w:space="0"/>
        </w:pBdr>
        <w:spacing w:after="0"/>
        <w:jc w:val="center"/>
        <w:rPr>
          <w:rFonts w:ascii="Times New Roman" w:cs="Times New Roman" w:eastAsia="Times New Roman" w:hAnsi="Times New Roman"/>
          <w:b/>
          <w:color w:val="000000"/>
        </w:rPr>
      </w:pPr>
      <w:r>
        <w:rPr>
          <w:rFonts w:ascii="Times New Roman" w:cs="Times New Roman" w:eastAsia="Times New Roman" w:hAnsi="Times New Roman"/>
          <w:b/>
          <w:color w:val="000000"/>
        </w:rPr>
        <w:t>Nomas līguma noslēgšana</w:t>
      </w:r>
    </w:p>
    <w:p w14:paraId="0000005D">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Sabiedrība noslēdz nomas līgumu (Nolikuma 2.pielikums) ar pretendentu, kurš uzvarējis izsolē.</w:t>
      </w:r>
    </w:p>
    <w:p w14:paraId="0000005E">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 xml:space="preserve">Ja pretendents atsakās noslēgt līgumu, tad viņš paziņo Sabiedrībai </w:t>
      </w:r>
      <w:r>
        <w:rPr>
          <w:rFonts w:ascii="Times New Roman" w:cs="Times New Roman" w:eastAsia="Times New Roman" w:hAnsi="Times New Roman"/>
          <w:color w:val="000000"/>
        </w:rPr>
        <w:t>rakstveidā</w:t>
      </w:r>
      <w:r>
        <w:rPr>
          <w:rFonts w:ascii="Times New Roman" w:cs="Times New Roman" w:eastAsia="Times New Roman" w:hAnsi="Times New Roman"/>
          <w:color w:val="000000"/>
        </w:rPr>
        <w:t>. Ja 7 (septiņu) dienu laikā no Sabiedrības lūguma parakstīt nomas līgumu,  pretendents neparaksta līgumu un neiesniedz paziņojumu par atteikšanos no līguma slēgšanas, ir uzskatāms, ka nomas tiesību pretendents no nomas līguma slēgšanas ir attiecies.</w:t>
      </w:r>
    </w:p>
    <w:p w14:paraId="0000005F">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Ja pretendents, kurš piedāvājis augstāko nomas maksu, atsakās slēgt nomas līgumu, Sabiedrība secīgi piedāvā nomas līgumu slēgt tam pretendentam, kurš piedāvājis nākamo augstāko nomas maksu.</w:t>
      </w:r>
    </w:p>
    <w:p w14:paraId="00000060">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b/>
          <w:i/>
          <w:color w:val="000000"/>
        </w:rPr>
      </w:pPr>
      <w:r>
        <w:rPr>
          <w:rFonts w:ascii="Times New Roman" w:cs="Times New Roman" w:eastAsia="Times New Roman" w:hAnsi="Times New Roman"/>
          <w:color w:val="000000"/>
        </w:rPr>
        <w:t>Pretendents, kurš piedāvājis nākamo augstāko nomas maksu, atbildi uz Nolikuma 6.3.punktā noteikto piedāvājumu sniedz 10 dienu laikā no tās nosūtīšanas dienas. Ja pretendents piekrīt parakstīt nomas līgumu par paša nosolīto augstāko nomas maksu, 7 (septiņu) darba dienu laikā pēc piekrišanas došanas noslēdz nomas līgumu ar Sabiedrību.</w:t>
      </w:r>
    </w:p>
    <w:p w14:paraId="00000061">
      <w:pPr>
        <w:numPr>
          <w:ilvl w:val="1"/>
          <w:numId w:val="4"/>
        </w:numPr>
        <w:pBdr>
          <w:top w:val="nil" w:sz="4" w:space="0"/>
          <w:left w:val="nil" w:sz="4" w:space="0"/>
          <w:bottom w:val="nil" w:sz="4" w:space="0"/>
          <w:right w:val="nil" w:sz="4" w:space="0"/>
          <w:between w:val="nil" w:sz="4" w:space="0"/>
        </w:pBdr>
        <w:spacing w:after="0"/>
        <w:ind w:left="426" w:hanging="426"/>
        <w:jc w:val="both"/>
        <w:rPr>
          <w:rFonts w:ascii="Times New Roman" w:cs="Times New Roman" w:eastAsia="Times New Roman" w:hAnsi="Times New Roman"/>
          <w:color w:val="000000"/>
        </w:rPr>
      </w:pPr>
      <w:r>
        <w:rPr>
          <w:rFonts w:ascii="Times New Roman" w:cs="Times New Roman" w:eastAsia="Times New Roman" w:hAnsi="Times New Roman"/>
          <w:color w:val="000000"/>
        </w:rPr>
        <w:t xml:space="preserve">Sabiedrība 10 darba dienu laikā pēc nomas līguma noslēgšanas savā mājaslapā internetā </w:t>
      </w:r>
      <w:r>
        <w:rPr>
          <w:rFonts w:ascii="Times New Roman" w:cs="Times New Roman" w:eastAsia="Times New Roman" w:hAnsi="Times New Roman"/>
          <w:color w:val="0563c1"/>
          <w:u w:val="single"/>
        </w:rPr>
        <w:t>www.</w:t>
      </w:r>
      <w:r>
        <w:rPr>
          <w:rFonts w:ascii="Times New Roman" w:cs="Times New Roman" w:eastAsia="Times New Roman" w:hAnsi="Times New Roman"/>
          <w:color w:val="0563c1"/>
          <w:u w:val="single"/>
        </w:rPr>
        <w:fldChar w:fldCharType="begin"/>
      </w:r>
      <w:r>
        <w:rPr>
          <w:rFonts w:ascii="Times New Roman" w:cs="Times New Roman" w:eastAsia="Times New Roman" w:hAnsi="Times New Roman"/>
          <w:color w:val="0563c1"/>
          <w:u w:val="single"/>
        </w:rPr>
        <w:instrText xml:space="preserve">HYPERLINK "http://www.daugavasstadions.lv" </w:instrText>
      </w:r>
      <w:r>
        <w:rPr>
          <w:rFonts w:ascii="Times New Roman" w:cs="Times New Roman" w:eastAsia="Times New Roman" w:hAnsi="Times New Roman"/>
          <w:color w:val="0563c1"/>
          <w:u w:val="single"/>
        </w:rPr>
        <w:fldChar w:fldCharType="separate"/>
      </w:r>
      <w:r>
        <w:rPr>
          <w:rFonts w:ascii="Times New Roman" w:cs="Times New Roman" w:eastAsia="Times New Roman" w:hAnsi="Times New Roman"/>
          <w:color w:val="0563c1"/>
          <w:u w:val="single"/>
        </w:rPr>
        <w:t>lnsc.lv</w:t>
      </w:r>
      <w:r>
        <w:rPr>
          <w:rFonts w:ascii="Times New Roman" w:cs="Times New Roman" w:eastAsia="Times New Roman" w:hAnsi="Times New Roman"/>
          <w:color w:val="000000"/>
        </w:rPr>
        <w:fldChar w:fldCharType="end"/>
      </w:r>
      <w:r>
        <w:rPr>
          <w:rFonts w:ascii="Times New Roman" w:cs="Times New Roman" w:eastAsia="Times New Roman" w:hAnsi="Times New Roman"/>
          <w:color w:val="000000"/>
        </w:rPr>
        <w:t xml:space="preserve"> sadaļas „Par mums” </w:t>
      </w:r>
      <w:r>
        <w:rPr>
          <w:rFonts w:ascii="Times New Roman" w:cs="Times New Roman" w:eastAsia="Times New Roman" w:hAnsi="Times New Roman"/>
          <w:color w:val="000000"/>
        </w:rPr>
        <w:t>apakšsadaļā</w:t>
      </w:r>
      <w:r>
        <w:rPr>
          <w:rFonts w:ascii="Times New Roman" w:cs="Times New Roman" w:eastAsia="Times New Roman" w:hAnsi="Times New Roman"/>
          <w:color w:val="000000"/>
        </w:rPr>
        <w:t xml:space="preserve"> “Iepirkumi un izsoles”, kā arī VAS „Valsts nekustamie īpašumi” mājaslapā internetā </w:t>
      </w:r>
      <w:r>
        <w:rPr>
          <w:rFonts w:ascii="Times New Roman" w:cs="Times New Roman" w:eastAsia="Times New Roman" w:hAnsi="Times New Roman"/>
          <w:color w:val="0563c1"/>
          <w:u w:val="single"/>
        </w:rPr>
        <w:fldChar w:fldCharType="begin"/>
      </w:r>
      <w:r>
        <w:rPr>
          <w:rFonts w:ascii="Times New Roman" w:cs="Times New Roman" w:eastAsia="Times New Roman" w:hAnsi="Times New Roman"/>
          <w:color w:val="0563c1"/>
          <w:u w:val="single"/>
        </w:rPr>
        <w:instrText xml:space="preserve">HYPERLINK "http://www.vni.lv" </w:instrText>
      </w:r>
      <w:r>
        <w:rPr>
          <w:rFonts w:ascii="Times New Roman" w:cs="Times New Roman" w:eastAsia="Times New Roman" w:hAnsi="Times New Roman"/>
          <w:color w:val="0563c1"/>
          <w:u w:val="single"/>
        </w:rPr>
        <w:fldChar w:fldCharType="separate"/>
      </w:r>
      <w:r>
        <w:rPr>
          <w:rFonts w:ascii="Times New Roman" w:cs="Times New Roman" w:eastAsia="Times New Roman" w:hAnsi="Times New Roman"/>
          <w:color w:val="0563c1"/>
          <w:u w:val="single"/>
        </w:rPr>
        <w:t>www.vni.lv</w:t>
      </w:r>
      <w:r>
        <w:rPr>
          <w:rFonts w:ascii="Times New Roman" w:cs="Times New Roman" w:eastAsia="Times New Roman" w:hAnsi="Times New Roman"/>
          <w:color w:val="000000"/>
        </w:rPr>
        <w:fldChar w:fldCharType="end"/>
      </w:r>
      <w:r>
        <w:rPr>
          <w:rFonts w:ascii="Times New Roman" w:cs="Times New Roman" w:eastAsia="Times New Roman" w:hAnsi="Times New Roman"/>
          <w:color w:val="000000"/>
        </w:rPr>
        <w:t xml:space="preserve"> publicē informāciju par noslēgto līgumu.</w:t>
      </w:r>
    </w:p>
    <w:p w14:paraId="00000062">
      <w:pPr>
        <w:rPr>
          <w:rFonts w:ascii="Times New Roman" w:cs="Times New Roman" w:eastAsia="Times New Roman" w:hAnsi="Times New Roman"/>
          <w:color w:val="000000"/>
        </w:rPr>
      </w:pPr>
      <w:r>
        <w:rPr/>
        <w:br w:type="page"/>
      </w:r>
    </w:p>
    <w:p w14:paraId="00000063">
      <w:pPr>
        <w:numPr>
          <w:ilvl w:val="0"/>
          <w:numId w:val="4"/>
        </w:numPr>
        <w:pBdr>
          <w:top w:val="nil" w:sz="4" w:space="0"/>
          <w:left w:val="nil" w:sz="4" w:space="0"/>
          <w:bottom w:val="nil" w:sz="4" w:space="0"/>
          <w:right w:val="nil" w:sz="4" w:space="0"/>
          <w:between w:val="nil" w:sz="4" w:space="0"/>
        </w:pBdr>
        <w:spacing w:after="0"/>
        <w:jc w:val="center"/>
        <w:rPr>
          <w:rFonts w:ascii="Times New Roman" w:cs="Times New Roman" w:eastAsia="Times New Roman" w:hAnsi="Times New Roman"/>
          <w:b/>
          <w:color w:val="000000"/>
        </w:rPr>
      </w:pPr>
      <w:r>
        <w:rPr>
          <w:rFonts w:ascii="Times New Roman" w:cs="Times New Roman" w:eastAsia="Times New Roman" w:hAnsi="Times New Roman"/>
          <w:b/>
          <w:color w:val="000000"/>
        </w:rPr>
        <w:t>Pielikumi</w:t>
      </w:r>
    </w:p>
    <w:p w14:paraId="00000064">
      <w:pPr>
        <w:numPr>
          <w:ilvl w:val="1"/>
          <w:numId w:val="4"/>
        </w:numPr>
        <w:pBdr>
          <w:top w:val="nil" w:sz="4" w:space="0"/>
          <w:left w:val="nil" w:sz="4" w:space="0"/>
          <w:bottom w:val="nil" w:sz="4" w:space="0"/>
          <w:right w:val="nil" w:sz="4" w:space="0"/>
          <w:between w:val="nil" w:sz="4" w:space="0"/>
        </w:pBdr>
        <w:spacing w:after="0"/>
        <w:ind w:left="426" w:hanging="426"/>
        <w:rPr>
          <w:rFonts w:ascii="Times New Roman" w:cs="Times New Roman" w:eastAsia="Times New Roman" w:hAnsi="Times New Roman"/>
          <w:color w:val="000000"/>
        </w:rPr>
      </w:pPr>
      <w:r>
        <w:rPr>
          <w:rFonts w:ascii="Times New Roman" w:cs="Times New Roman" w:eastAsia="Times New Roman" w:hAnsi="Times New Roman"/>
          <w:color w:val="000000"/>
        </w:rPr>
        <w:t>1.pielikums - Izsoles pieteikuma veidlapa uz 1 lapas;</w:t>
      </w:r>
    </w:p>
    <w:p w14:paraId="00000065">
      <w:pPr>
        <w:numPr>
          <w:ilvl w:val="1"/>
          <w:numId w:val="4"/>
        </w:numPr>
        <w:pBdr>
          <w:top w:val="nil" w:sz="4" w:space="0"/>
          <w:left w:val="nil" w:sz="4" w:space="0"/>
          <w:bottom w:val="nil" w:sz="4" w:space="0"/>
          <w:right w:val="nil" w:sz="4" w:space="0"/>
          <w:between w:val="nil" w:sz="4" w:space="0"/>
        </w:pBdr>
        <w:spacing w:after="0"/>
        <w:ind w:left="426" w:hanging="426"/>
        <w:rPr>
          <w:rFonts w:ascii="Times New Roman" w:cs="Times New Roman" w:eastAsia="Times New Roman" w:hAnsi="Times New Roman"/>
          <w:color w:val="000000"/>
        </w:rPr>
      </w:pPr>
      <w:r>
        <w:rPr>
          <w:rFonts w:ascii="Times New Roman" w:cs="Times New Roman" w:eastAsia="Times New Roman" w:hAnsi="Times New Roman"/>
          <w:color w:val="000000"/>
        </w:rPr>
        <w:t xml:space="preserve">2.pielikums -  Nedzīvojamo telpu nomas līguma projekts ar pielikumu uz </w:t>
      </w:r>
      <w:r>
        <w:rPr>
          <w:rFonts w:ascii="Times New Roman" w:cs="Times New Roman" w:eastAsia="Times New Roman" w:hAnsi="Times New Roman"/>
          <w:color w:val="000000"/>
        </w:rPr>
        <w:t>6</w:t>
      </w:r>
      <w:r>
        <w:rPr>
          <w:rFonts w:ascii="Times New Roman" w:cs="Times New Roman" w:eastAsia="Times New Roman" w:hAnsi="Times New Roman"/>
          <w:color w:val="000000"/>
        </w:rPr>
        <w:t xml:space="preserve"> lapām.</w:t>
      </w:r>
    </w:p>
    <w:p w14:paraId="00000066">
      <w:pPr>
        <w:spacing w:after="0"/>
        <w:jc w:val="both"/>
        <w:rPr>
          <w:rFonts w:ascii="Times New Roman" w:cs="Times New Roman" w:eastAsia="Times New Roman" w:hAnsi="Times New Roman"/>
          <w:b/>
          <w:i/>
        </w:rPr>
      </w:pPr>
    </w:p>
    <w:p w14:paraId="00000067">
      <w:pPr>
        <w:spacing w:after="0"/>
        <w:jc w:val="both"/>
        <w:rPr>
          <w:rFonts w:ascii="Times New Roman" w:cs="Times New Roman" w:eastAsia="Times New Roman" w:hAnsi="Times New Roman"/>
          <w:b/>
          <w:i/>
        </w:rPr>
      </w:pPr>
    </w:p>
    <w:p w14:paraId="00000068">
      <w:pPr>
        <w:spacing w:after="0"/>
        <w:jc w:val="both"/>
        <w:rPr>
          <w:rFonts w:ascii="Times New Roman" w:cs="Times New Roman" w:eastAsia="Times New Roman" w:hAnsi="Times New Roman"/>
          <w:b/>
          <w:i/>
        </w:rPr>
      </w:pPr>
    </w:p>
    <w:p w14:paraId="00000069">
      <w:pPr>
        <w:spacing w:after="0"/>
        <w:jc w:val="both"/>
        <w:rPr>
          <w:rFonts w:ascii="Times New Roman" w:cs="Times New Roman" w:eastAsia="Times New Roman" w:hAnsi="Times New Roman"/>
        </w:rPr>
      </w:pPr>
      <w:r>
        <w:rPr>
          <w:rFonts w:ascii="Times New Roman" w:cs="Times New Roman" w:eastAsia="Times New Roman" w:hAnsi="Times New Roman"/>
        </w:rPr>
        <w:t xml:space="preserve">Komisijas priekšsēdētājs </w:t>
      </w:r>
      <w:r>
        <w:rPr>
          <w:rFonts w:ascii="Times New Roman" w:cs="Times New Roman" w:eastAsia="Times New Roman" w:hAnsi="Times New Roman"/>
        </w:rPr>
        <w:tab/>
      </w:r>
      <w:r>
        <w:rPr>
          <w:rFonts w:ascii="Times New Roman" w:cs="Times New Roman" w:eastAsia="Times New Roman" w:hAnsi="Times New Roman"/>
        </w:rPr>
        <w:tab/>
      </w:r>
      <w:r>
        <w:rPr>
          <w:rFonts w:ascii="Times New Roman" w:cs="Times New Roman" w:eastAsia="Times New Roman" w:hAnsi="Times New Roman"/>
        </w:rPr>
        <w:tab/>
      </w:r>
      <w:r>
        <w:rPr>
          <w:rFonts w:ascii="Times New Roman" w:cs="Times New Roman" w:eastAsia="Times New Roman" w:hAnsi="Times New Roman"/>
        </w:rPr>
        <w:tab/>
      </w:r>
      <w:r>
        <w:rPr>
          <w:rFonts w:ascii="Times New Roman" w:cs="Times New Roman" w:eastAsia="Times New Roman" w:hAnsi="Times New Roman"/>
        </w:rPr>
        <w:tab/>
      </w:r>
      <w:r>
        <w:rPr>
          <w:rFonts w:ascii="Times New Roman" w:cs="Times New Roman" w:eastAsia="Times New Roman" w:hAnsi="Times New Roman"/>
        </w:rPr>
        <w:tab/>
      </w:r>
      <w:r>
        <w:rPr>
          <w:rFonts w:ascii="Times New Roman" w:cs="Times New Roman" w:eastAsia="Times New Roman" w:hAnsi="Times New Roman"/>
        </w:rPr>
        <w:tab/>
      </w:r>
      <w:r>
        <w:rPr>
          <w:rFonts w:ascii="Times New Roman" w:cs="Times New Roman" w:eastAsia="Times New Roman" w:hAnsi="Times New Roman"/>
        </w:rPr>
        <w:tab/>
      </w:r>
      <w:r>
        <w:rPr>
          <w:rFonts w:ascii="Times New Roman" w:cs="Times New Roman" w:eastAsia="Times New Roman" w:hAnsi="Times New Roman"/>
        </w:rPr>
        <w:t>J.Valters</w:t>
      </w:r>
    </w:p>
    <w:p w14:paraId="0000006A"/>
    <w:p w14:paraId="0000006B"/>
    <w:sectPr>
      <w:headerReference w:type="default" r:id="rId43"/>
      <w:footerReference w:type="first" r:id="rId44"/>
      <w:pgSz w:w="11906" w:h="16838"/>
      <w:pgMar w:top="709" w:right="566" w:bottom="1135" w:left="1276"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endnote w:type="separator" w:id="0">
    <w:p w14:paraId="00000003">
      <w:pPr>
        <w:spacing w:after="0" w:line="240" w:lineRule="auto"/>
        <w:rPr/>
      </w:pPr>
      <w:r>
        <w:rPr/>
        <w:separator/>
      </w:r>
    </w:p>
  </w:endnote>
  <w:endnote w:type="continuationSeparator" w:id="1">
    <w:p w14:paraId="00000004">
      <w:pPr>
        <w:spacing w:after="0" w:line="240" w:lineRule="auto"/>
        <w:rPr/>
      </w:pPr>
      <w:r>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00000000" w:usb1="00000000" w:usb2="00000009" w:usb3="00000000" w:csb0="000001ff" w:csb1="00000000"/>
  </w:font>
  <w:font w:name="Calibri">
    <w:panose1 w:val="020f0502020204030204"/>
    <w:charset w:val="ba"/>
    <w:family w:val="swiss"/>
    <w:pitch w:val="variable"/>
    <w:sig w:usb0="00000000" w:usb1="00000000" w:usb2="00000009" w:usb3="00000000" w:csb0="000001ff" w:csb1="00000000"/>
  </w:font>
  <w:font w:name="Times">
    <w:panose1 w:val="02020603050405020304"/>
    <w:charset w:val="ba"/>
    <w:family w:val="roman"/>
    <w:pitch w:val="variable"/>
    <w:sig w:usb0="00000000" w:usb1="00000000" w:usb2="00000009" w:usb3="00000000" w:csb0="000001ff" w:csb1="00000000"/>
  </w:font>
  <w:font w:name="Calibri Light">
    <w:panose1 w:val="020f0302020204030204"/>
    <w:charset w:val="ba"/>
    <w:family w:val="swiss"/>
    <w:pitch w:val="variable"/>
    <w:sig w:usb0="00000000" w:usb1="00000000" w:usb2="00000009" w:usb3="00000000" w:csb0="000001ff" w:csb1="00000000"/>
  </w:font>
  <w:font w:name="Arial">
    <w:panose1 w:val="020b0604020202020204"/>
    <w:charset w:val="00"/>
    <w:family w:val="swiss"/>
    <w:pitch w:val="variable"/>
    <w:sig w:usb0="20002a87" w:usb1="00000000" w:usb2="00000008" w:usb3="00000000" w:csb0="000001ff" w:csb1="00000000"/>
  </w:font>
  <w:font w:name="Cambria">
    <w:panose1 w:val="02040503050406030204"/>
    <w:charset w:val="00"/>
    <w:family w:val="roman"/>
    <w:pitch w:val="variable"/>
    <w:sig w:usb0="00000000" w:usb1="4000004b" w:usb2="00000000" w:usb3="00000000" w:csb0="0000009f" w:csb1="00000000"/>
  </w:font>
  <w:font w:name="Courier New">
    <w:panose1 w:val="02070309020205020404"/>
    <w:charset w:val="00"/>
    <w:family w:val="modern"/>
    <w:pitch w:val="fixed"/>
    <w:sig w:usb0="00000000" w:usb1="00000000" w:usb2="00000009" w:usb3="00000000" w:csb0="000001ff" w:csb1="00000000"/>
  </w:font>
  <w:font w:name="Tahoma">
    <w:panose1 w:val="020b0604030504040204"/>
    <w:charset w:val="00"/>
    <w:family w:val="roman"/>
    <w:pitch w:val="variable"/>
    <w:sig w:usb0="61002a87" w:usb1="00000000" w:usb2="00000008" w:usb3="00000000" w:csb0="000001ff" w:csb1="00000000"/>
  </w:font>
  <w:font w:name="Verdana">
    <w:panose1 w:val="020b0604030504040204"/>
    <w:charset w:val="00"/>
    <w:family w:val="roman"/>
    <w:pitch w:val="variable"/>
    <w:sig w:usb0="00000000" w:usb1="4000205b" w:usb2="00000010" w:usb3="00000000" w:csb0="0000019f" w:csb1="00000000"/>
  </w:font>
  <w:font w:name="Symbol">
    <w:panose1 w:val="05050102010706020507"/>
    <w:charset w:val="02"/>
    <w:family w:val="roman"/>
    <w:notTrueType w:val="on"/>
    <w:pitch w:val="variable"/>
  </w:font>
  <w:font w:name="Wingdings">
    <w:panose1 w:val="05000000000000000000"/>
    <w:charset w:val="02"/>
    <w:family w:val="auto"/>
    <w:notTrueType w:val="on"/>
    <w:pitch w:val="variable"/>
  </w:font>
  <w:font w:name="Helvetica Neue">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p w14:paraId="0000006E">
    <w:pPr>
      <w:pBdr>
        <w:top w:val="nil" w:sz="4" w:space="0"/>
        <w:left w:val="nil" w:sz="4" w:space="0"/>
        <w:bottom w:val="nil" w:sz="4" w:space="0"/>
        <w:right w:val="nil" w:sz="4" w:space="0"/>
        <w:between w:val="nil" w:sz="4" w:space="0"/>
      </w:pBdr>
      <w:tabs>
        <w:tab w:val="center" w:pos="4153"/>
        <w:tab w:val="right" w:pos="8306"/>
      </w:tabs>
      <w:spacing w:after="0" w:line="240" w:lineRule="auto"/>
      <w:jc w:val="right"/>
      <w:rPr>
        <w:rFonts w:ascii="Times New Roman" w:cs="Times New Roman" w:eastAsia="Times New Roman" w:hAnsi="Times New Roman"/>
        <w:color w:val="000000"/>
        <w:sz w:val="20"/>
        <w:szCs w:val="20"/>
      </w:rPr>
    </w:pPr>
    <w:r>
      <w:rPr>
        <w:rFonts w:ascii="Times New Roman" w:cs="Times New Roman" w:eastAsia="Times New Roman" w:hAnsi="Times New Roman"/>
        <w:color w:val="000000"/>
        <w:sz w:val="20"/>
        <w:szCs w:val="20"/>
      </w:rPr>
      <w:t xml:space="preserve">Lapa </w:t>
    </w:r>
    <w:r>
      <w:rPr>
        <w:rFonts w:ascii="Times New Roman" w:cs="Times New Roman" w:eastAsia="Times New Roman" w:hAnsi="Times New Roman"/>
        <w:color w:val="000000"/>
        <w:sz w:val="20"/>
        <w:szCs w:val="20"/>
      </w:rPr>
      <w:fldChar w:fldCharType="begin"/>
    </w:r>
    <w:r>
      <w:rPr>
        <w:rFonts w:ascii="Times New Roman" w:cs="Times New Roman" w:eastAsia="Times New Roman" w:hAnsi="Times New Roman"/>
        <w:color w:val="000000"/>
        <w:sz w:val="20"/>
        <w:szCs w:val="20"/>
      </w:rPr>
      <w:instrText xml:space="preserve">PAGE</w:instrText>
    </w:r>
    <w:r>
      <w:rPr>
        <w:rFonts w:ascii="Times New Roman" w:cs="Times New Roman" w:eastAsia="Times New Roman" w:hAnsi="Times New Roman"/>
        <w:color w:val="000000"/>
        <w:sz w:val="20"/>
        <w:szCs w:val="20"/>
      </w:rPr>
      <w:fldChar w:fldCharType="separate"/>
    </w:r>
    <w:r>
      <w:rPr>
        <w:rFonts w:ascii="Times New Roman" w:cs="Times New Roman" w:eastAsia="Times New Roman" w:hAnsi="Times New Roman"/>
        <w:color w:val="000000"/>
        <w:sz w:val="20"/>
        <w:szCs w:val="20"/>
      </w:rPr>
      <w:t>1</w:t>
    </w:r>
    <w:r>
      <w:rPr>
        <w:rFonts w:ascii="Times New Roman" w:cs="Times New Roman" w:eastAsia="Times New Roman" w:hAnsi="Times New Roman"/>
        <w:color w:val="000000"/>
        <w:sz w:val="20"/>
        <w:szCs w:val="20"/>
      </w:rPr>
      <w:fldChar w:fldCharType="end"/>
    </w:r>
    <w:r>
      <w:rPr>
        <w:rFonts w:ascii="Times New Roman" w:cs="Times New Roman" w:eastAsia="Times New Roman" w:hAnsi="Times New Roman"/>
        <w:color w:val="000000"/>
        <w:sz w:val="20"/>
        <w:szCs w:val="20"/>
      </w:rPr>
      <w:t xml:space="preserve"> no </w:t>
    </w:r>
    <w:r>
      <w:rPr>
        <w:rFonts w:ascii="Times New Roman" w:cs="Times New Roman" w:eastAsia="Times New Roman" w:hAnsi="Times New Roman"/>
        <w:color w:val="000000"/>
        <w:sz w:val="20"/>
        <w:szCs w:val="20"/>
      </w:rPr>
      <w:fldChar w:fldCharType="begin"/>
    </w:r>
    <w:r>
      <w:rPr>
        <w:rFonts w:ascii="Times New Roman" w:cs="Times New Roman" w:eastAsia="Times New Roman" w:hAnsi="Times New Roman"/>
        <w:color w:val="000000"/>
        <w:sz w:val="20"/>
        <w:szCs w:val="20"/>
      </w:rPr>
      <w:instrText xml:space="preserve">NUMPAGES</w:instrText>
    </w:r>
    <w:r>
      <w:rPr>
        <w:rFonts w:ascii="Times New Roman" w:cs="Times New Roman" w:eastAsia="Times New Roman" w:hAnsi="Times New Roman"/>
        <w:color w:val="000000"/>
        <w:sz w:val="20"/>
        <w:szCs w:val="20"/>
      </w:rPr>
      <w:fldChar w:fldCharType="separate"/>
    </w:r>
    <w:r>
      <w:rPr>
        <w:rFonts w:ascii="Times New Roman" w:cs="Times New Roman" w:eastAsia="Times New Roman" w:hAnsi="Times New Roman"/>
        <w:color w:val="000000"/>
        <w:sz w:val="20"/>
        <w:szCs w:val="20"/>
      </w:rPr>
      <w:t>2</w:t>
    </w:r>
    <w:r>
      <w:rPr>
        <w:rFonts w:ascii="Times New Roman" w:cs="Times New Roman" w:eastAsia="Times New Roman" w:hAnsi="Times New Roman"/>
        <w:color w:val="000000"/>
        <w:sz w:val="20"/>
        <w:szCs w:val="20"/>
      </w:rPr>
      <w:fldChar w:fldCharType="end"/>
    </w:r>
  </w:p>
  <w:p w14:paraId="0000006F">
    <w:pPr>
      <w:pBdr>
        <w:top w:val="nil" w:sz="4" w:space="0"/>
        <w:left w:val="nil" w:sz="4" w:space="0"/>
        <w:bottom w:val="nil" w:sz="4" w:space="0"/>
        <w:right w:val="nil" w:sz="4" w:space="0"/>
        <w:between w:val="nil" w:sz="4" w:space="0"/>
      </w:pBdr>
      <w:tabs>
        <w:tab w:val="center" w:pos="4153"/>
        <w:tab w:val="right" w:pos="8306"/>
      </w:tabs>
      <w:spacing w:after="0" w:line="240" w:lineRule="auto"/>
      <w:rPr>
        <w:rFonts w:ascii="Times New Roman" w:cs="Times New Roman" w:eastAsia="Times New Roman" w:hAnsi="Times New Roman"/>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footnote w:type="separator" w:id="0">
    <w:p w14:paraId="00000001">
      <w:pPr>
        <w:spacing w:after="0" w:line="240" w:lineRule="auto"/>
        <w:rPr/>
      </w:pPr>
      <w:r>
        <w:rPr/>
        <w:separator/>
      </w:r>
    </w:p>
  </w:footnote>
  <w:footnote w:type="continuationSeparator" w:id="1">
    <w:p w14:paraId="00000002">
      <w:pPr>
        <w:spacing w:after="0" w:line="240" w:lineRule="auto"/>
        <w:rPr/>
      </w:pPr>
      <w:r>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p w14:paraId="0000006C">
    <w:pPr>
      <w:pBdr>
        <w:top w:val="nil" w:sz="4" w:space="0"/>
        <w:left w:val="nil" w:sz="4" w:space="0"/>
        <w:bottom w:val="nil" w:sz="4" w:space="0"/>
        <w:right w:val="nil" w:sz="4" w:space="0"/>
        <w:between w:val="nil" w:sz="4" w:space="0"/>
      </w:pBdr>
      <w:tabs>
        <w:tab w:val="center" w:pos="4153"/>
        <w:tab w:val="right" w:pos="8306"/>
      </w:tabs>
      <w:spacing w:after="0" w:line="240" w:lineRule="auto"/>
      <w:jc w:val="center"/>
      <w:rPr>
        <w:rFonts w:ascii="Times New Roman" w:cs="Times New Roman" w:eastAsia="Times New Roman" w:hAnsi="Times New Roman"/>
        <w:color w:val="000000"/>
      </w:rPr>
    </w:pPr>
    <w:r>
      <w:rPr>
        <w:rFonts w:ascii="Times New Roman" w:cs="Times New Roman" w:eastAsia="Times New Roman" w:hAnsi="Times New Roman"/>
        <w:color w:val="000000"/>
      </w:rPr>
      <w:fldChar w:fldCharType="begin"/>
    </w:r>
    <w:r>
      <w:rPr>
        <w:rFonts w:ascii="Times New Roman" w:cs="Times New Roman" w:eastAsia="Times New Roman" w:hAnsi="Times New Roman"/>
        <w:color w:val="000000"/>
      </w:rPr>
      <w:instrText xml:space="preserve">PAGE</w:instrText>
    </w:r>
    <w:r>
      <w:rPr>
        <w:rFonts w:ascii="Times New Roman" w:cs="Times New Roman" w:eastAsia="Times New Roman" w:hAnsi="Times New Roman"/>
        <w:color w:val="000000"/>
      </w:rPr>
      <w:fldChar w:fldCharType="separate"/>
    </w:r>
    <w:r>
      <w:rPr>
        <w:rFonts w:ascii="Times New Roman" w:cs="Times New Roman" w:eastAsia="Times New Roman" w:hAnsi="Times New Roman"/>
        <w:color w:val="000000"/>
      </w:rPr>
      <w:t>2</w:t>
    </w:r>
    <w:r>
      <w:rPr>
        <w:rFonts w:ascii="Times New Roman" w:cs="Times New Roman" w:eastAsia="Times New Roman" w:hAnsi="Times New Roman"/>
        <w:color w:val="000000"/>
      </w:rPr>
      <w:fldChar w:fldCharType="end"/>
    </w:r>
  </w:p>
  <w:p w14:paraId="0000006D">
    <w:pPr>
      <w:pBdr>
        <w:top w:val="nil" w:sz="4" w:space="0"/>
        <w:left w:val="nil" w:sz="4" w:space="0"/>
        <w:bottom w:val="nil" w:sz="4" w:space="0"/>
        <w:right w:val="nil" w:sz="4" w:space="0"/>
        <w:between w:val="nil" w:sz="4" w:space="0"/>
      </w:pBdr>
      <w:tabs>
        <w:tab w:val="center" w:pos="4153"/>
        <w:tab w:val="right" w:pos="8306"/>
      </w:tabs>
      <w:spacing w:after="0" w:line="240" w:lineRule="auto"/>
      <w:rPr>
        <w:color w:val="000000"/>
      </w:rPr>
    </w:pP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ne="http://schemas.microsoft.com/office/word/2006/wordml" xmlns:w14="http://schemas.microsoft.com/office/word/2010/wordml" xmlns:w="http://schemas.openxmlformats.org/wordprocessingml/2006/main">
  <w:abstractNum w:abstractNumId="0">
    <w:multiLevelType w:val="multilevel"/>
    <w:lvl w:ilvl="0" w:tentative="0">
      <w:start w:val="1"/>
      <w:numFmt w:val="decimal"/>
      <w:lvlText w:val="%1."/>
      <w:lvlJc w:val="left"/>
      <w:pPr>
        <w:ind w:left="360" w:hanging="360"/>
      </w:pPr>
    </w:lvl>
    <w:lvl w:ilvl="1" w:tentative="0">
      <w:start w:val="1"/>
      <w:numFmt w:val="decimal"/>
      <w:lvlText w:val="%1.%2."/>
      <w:lvlJc w:val="left"/>
      <w:pPr>
        <w:ind w:left="792" w:hanging="432"/>
      </w:pPr>
    </w:lvl>
    <w:lvl w:ilvl="2" w:tentative="0">
      <w:start w:val="1"/>
      <w:numFmt w:val="decimal"/>
      <w:lvlText w:val="5.12.%3."/>
      <w:lvlJc w:val="left"/>
      <w:pPr>
        <w:ind w:left="1224" w:hanging="504"/>
      </w:pPr>
    </w:lvl>
    <w:lvl w:ilvl="3" w:tentative="0">
      <w:start w:val="1"/>
      <w:numFmt w:val="decimal"/>
      <w:lvlText w:val="%1.%2.%3.%4."/>
      <w:lvlJc w:val="left"/>
      <w:pPr>
        <w:ind w:left="1728" w:hanging="647"/>
      </w:pPr>
    </w:lvl>
    <w:lvl w:ilvl="4" w:tentative="0">
      <w:start w:val="1"/>
      <w:numFmt w:val="decimal"/>
      <w:lvlText w:val="%1.%2.%3.%4.%5."/>
      <w:lvlJc w:val="left"/>
      <w:pPr>
        <w:ind w:left="2232" w:hanging="792"/>
      </w:pPr>
    </w:lvl>
    <w:lvl w:ilvl="5" w:tentative="0">
      <w:start w:val="1"/>
      <w:numFmt w:val="decimal"/>
      <w:lvlText w:val="%1.%2.%3.%4.%5.%6."/>
      <w:lvlJc w:val="left"/>
      <w:pPr>
        <w:ind w:left="2736" w:hanging="933"/>
      </w:pPr>
    </w:lvl>
    <w:lvl w:ilvl="6" w:tentative="0">
      <w:start w:val="1"/>
      <w:numFmt w:val="decimal"/>
      <w:lvlText w:val="%1.%2.%3.%4.%5.%6.%7."/>
      <w:lvlJc w:val="left"/>
      <w:pPr>
        <w:ind w:left="3240" w:hanging="1080"/>
      </w:pPr>
    </w:lvl>
    <w:lvl w:ilvl="7" w:tentative="0">
      <w:start w:val="1"/>
      <w:numFmt w:val="decimal"/>
      <w:lvlText w:val="%1.%2.%3.%4.%5.%6.%7.%8."/>
      <w:lvlJc w:val="left"/>
      <w:pPr>
        <w:ind w:left="3744" w:hanging="1224"/>
      </w:pPr>
    </w:lvl>
    <w:lvl w:ilvl="8" w:tentative="0">
      <w:start w:val="1"/>
      <w:numFmt w:val="decimal"/>
      <w:lvlText w:val="%1.%2.%3.%4.%5.%6.%7.%8.%9."/>
      <w:lvlJc w:val="left"/>
      <w:pPr>
        <w:ind w:left="4320" w:hanging="1440"/>
      </w:pPr>
    </w:lvl>
  </w:abstractNum>
  <w:abstractNum w:abstractNumId="1">
    <w:multiLevelType w:val="multilevel"/>
    <w:lvl w:ilvl="0" w:tentative="0">
      <w:start w:val="1"/>
      <w:numFmt w:val="decimal"/>
      <w:lvlText w:val="%1."/>
      <w:lvlJc w:val="left"/>
      <w:pPr>
        <w:ind w:left="360" w:hanging="360"/>
      </w:pPr>
    </w:lvl>
    <w:lvl w:ilvl="1" w:tentative="0">
      <w:start w:val="1"/>
      <w:numFmt w:val="decimal"/>
      <w:lvlText w:val="%1.%2."/>
      <w:lvlJc w:val="left"/>
      <w:pPr>
        <w:ind w:left="4118" w:hanging="432"/>
      </w:pPr>
      <w:rPr>
        <w:b w:val="off"/>
        <w:i w:val="off"/>
        <w:color w:val="000000"/>
      </w:rPr>
    </w:lvl>
    <w:lvl w:ilvl="2" w:tentative="0">
      <w:start w:val="1"/>
      <w:numFmt w:val="decimal"/>
      <w:lvlText w:val="%1.%2.%3."/>
      <w:lvlJc w:val="left"/>
      <w:pPr>
        <w:ind w:left="1224" w:hanging="504"/>
      </w:pPr>
      <w:rPr>
        <w:rFonts w:ascii="Times New Roman" w:cs="Times New Roman" w:eastAsia="Times New Roman" w:hAnsi="Times New Roman"/>
        <w:b w:val="off"/>
        <w:i w:val="off"/>
        <w:u w:val="none"/>
      </w:rPr>
    </w:lvl>
    <w:lvl w:ilvl="3" w:tentative="0">
      <w:start w:val="1"/>
      <w:numFmt w:val="decimal"/>
      <w:lvlText w:val="%1.%2.%3.%4."/>
      <w:lvlJc w:val="left"/>
      <w:pPr>
        <w:ind w:left="1728" w:hanging="647"/>
      </w:pPr>
    </w:lvl>
    <w:lvl w:ilvl="4" w:tentative="0">
      <w:start w:val="1"/>
      <w:numFmt w:val="decimal"/>
      <w:lvlText w:val="%1.%2.%3.%4.%5."/>
      <w:lvlJc w:val="left"/>
      <w:pPr>
        <w:ind w:left="2232" w:hanging="792"/>
      </w:pPr>
    </w:lvl>
    <w:lvl w:ilvl="5" w:tentative="0">
      <w:start w:val="1"/>
      <w:numFmt w:val="decimal"/>
      <w:lvlText w:val="%1.%2.%3.%4.%5.%6."/>
      <w:lvlJc w:val="left"/>
      <w:pPr>
        <w:ind w:left="2736" w:hanging="933"/>
      </w:pPr>
    </w:lvl>
    <w:lvl w:ilvl="6" w:tentative="0">
      <w:start w:val="1"/>
      <w:numFmt w:val="decimal"/>
      <w:lvlText w:val="%1.%2.%3.%4.%5.%6.%7."/>
      <w:lvlJc w:val="left"/>
      <w:pPr>
        <w:ind w:left="3240" w:hanging="1080"/>
      </w:pPr>
    </w:lvl>
    <w:lvl w:ilvl="7" w:tentative="0">
      <w:start w:val="1"/>
      <w:numFmt w:val="decimal"/>
      <w:lvlText w:val="%1.%2.%3.%4.%5.%6.%7.%8."/>
      <w:lvlJc w:val="left"/>
      <w:pPr>
        <w:ind w:left="3744" w:hanging="1224"/>
      </w:pPr>
    </w:lvl>
    <w:lvl w:ilvl="8" w:tentative="0">
      <w:start w:val="1"/>
      <w:numFmt w:val="decimal"/>
      <w:lvlText w:val="%1.%2.%3.%4.%5.%6.%7.%8.%9."/>
      <w:lvlJc w:val="left"/>
      <w:pPr>
        <w:ind w:left="4320" w:hanging="1440"/>
      </w:pPr>
    </w:lvl>
  </w:abstractNum>
  <w:abstractNum w:abstractNumId="2">
    <w:multiLevelType w:val="multilevel"/>
    <w:lvl w:ilvl="0" w:tentative="0">
      <w:start w:val="1"/>
      <w:numFmt w:val="decimal"/>
      <w:lvlText w:val="%1."/>
      <w:lvlJc w:val="left"/>
      <w:pPr>
        <w:ind w:left="360" w:hanging="360"/>
      </w:pPr>
    </w:lvl>
    <w:lvl w:ilvl="1" w:tentative="0">
      <w:start w:val="1"/>
      <w:numFmt w:val="decimal"/>
      <w:lvlText w:val="%1.%2."/>
      <w:lvlJc w:val="left"/>
      <w:pPr>
        <w:ind w:left="792" w:hanging="432"/>
      </w:pPr>
    </w:lvl>
    <w:lvl w:ilvl="2" w:tentative="0">
      <w:start w:val="1"/>
      <w:numFmt w:val="decimal"/>
      <w:lvlText w:val="5.8.%3."/>
      <w:lvlJc w:val="left"/>
      <w:pPr>
        <w:ind w:left="1224" w:hanging="504"/>
      </w:pPr>
      <w:rPr>
        <w:b w:val="off"/>
        <w:i w:val="off"/>
        <w:u w:val="none"/>
      </w:rPr>
    </w:lvl>
    <w:lvl w:ilvl="3" w:tentative="0">
      <w:start w:val="1"/>
      <w:numFmt w:val="decimal"/>
      <w:lvlText w:val="%1.%2.%3.%4."/>
      <w:lvlJc w:val="left"/>
      <w:pPr>
        <w:ind w:left="1728" w:hanging="647"/>
      </w:pPr>
    </w:lvl>
    <w:lvl w:ilvl="4" w:tentative="0">
      <w:start w:val="1"/>
      <w:numFmt w:val="decimal"/>
      <w:lvlText w:val="%1.%2.%3.%4.%5."/>
      <w:lvlJc w:val="left"/>
      <w:pPr>
        <w:ind w:left="2232" w:hanging="792"/>
      </w:pPr>
    </w:lvl>
    <w:lvl w:ilvl="5" w:tentative="0">
      <w:start w:val="1"/>
      <w:numFmt w:val="decimal"/>
      <w:lvlText w:val="%1.%2.%3.%4.%5.%6."/>
      <w:lvlJc w:val="left"/>
      <w:pPr>
        <w:ind w:left="2736" w:hanging="933"/>
      </w:pPr>
    </w:lvl>
    <w:lvl w:ilvl="6" w:tentative="0">
      <w:start w:val="1"/>
      <w:numFmt w:val="decimal"/>
      <w:lvlText w:val="%1.%2.%3.%4.%5.%6.%7."/>
      <w:lvlJc w:val="left"/>
      <w:pPr>
        <w:ind w:left="3240" w:hanging="1080"/>
      </w:pPr>
    </w:lvl>
    <w:lvl w:ilvl="7" w:tentative="0">
      <w:start w:val="1"/>
      <w:numFmt w:val="decimal"/>
      <w:lvlText w:val="%1.%2.%3.%4.%5.%6.%7.%8."/>
      <w:lvlJc w:val="left"/>
      <w:pPr>
        <w:ind w:left="3744" w:hanging="1224"/>
      </w:pPr>
    </w:lvl>
    <w:lvl w:ilvl="8" w:tentative="0">
      <w:start w:val="1"/>
      <w:numFmt w:val="decimal"/>
      <w:lvlText w:val="%1.%2.%3.%4.%5.%6.%7.%8.%9."/>
      <w:lvlJc w:val="left"/>
      <w:pPr>
        <w:ind w:left="4320" w:hanging="1440"/>
      </w:pPr>
    </w:lvl>
  </w:abstractNum>
  <w:abstractNum w:abstractNumId="3">
    <w:multiLevelType w:val="multilevel"/>
    <w:lvl w:ilvl="0" w:tentative="0">
      <w:start w:val="1"/>
      <w:numFmt w:val="decimal"/>
      <w:lvlText w:val="%1."/>
      <w:lvlJc w:val="left"/>
      <w:pPr>
        <w:ind w:left="360" w:hanging="360"/>
      </w:pPr>
    </w:lvl>
    <w:lvl w:ilvl="1" w:tentative="0">
      <w:start w:val="1"/>
      <w:numFmt w:val="decimal"/>
      <w:lvlText w:val="%1.%2."/>
      <w:lvlJc w:val="left"/>
      <w:pPr>
        <w:ind w:left="792" w:hanging="432"/>
      </w:pPr>
    </w:lvl>
    <w:lvl w:ilvl="2" w:tentative="0">
      <w:start w:val="1"/>
      <w:numFmt w:val="decimal"/>
      <w:lvlText w:val="5.9.%3."/>
      <w:lvlJc w:val="left"/>
      <w:pPr>
        <w:ind w:left="1224" w:hanging="504"/>
      </w:pPr>
      <w:rPr>
        <w:b w:val="off"/>
        <w:i w:val="off"/>
        <w:u w:val="none"/>
      </w:rPr>
    </w:lvl>
    <w:lvl w:ilvl="3" w:tentative="0">
      <w:start w:val="1"/>
      <w:numFmt w:val="decimal"/>
      <w:lvlText w:val="%1.%2.%3.%4."/>
      <w:lvlJc w:val="left"/>
      <w:pPr>
        <w:ind w:left="1728" w:hanging="647"/>
      </w:pPr>
    </w:lvl>
    <w:lvl w:ilvl="4" w:tentative="0">
      <w:start w:val="1"/>
      <w:numFmt w:val="decimal"/>
      <w:lvlText w:val="%1.%2.%3.%4.%5."/>
      <w:lvlJc w:val="left"/>
      <w:pPr>
        <w:ind w:left="2232" w:hanging="792"/>
      </w:pPr>
    </w:lvl>
    <w:lvl w:ilvl="5" w:tentative="0">
      <w:start w:val="1"/>
      <w:numFmt w:val="decimal"/>
      <w:lvlText w:val="%1.%2.%3.%4.%5.%6."/>
      <w:lvlJc w:val="left"/>
      <w:pPr>
        <w:ind w:left="2736" w:hanging="933"/>
      </w:pPr>
    </w:lvl>
    <w:lvl w:ilvl="6" w:tentative="0">
      <w:start w:val="1"/>
      <w:numFmt w:val="decimal"/>
      <w:lvlText w:val="%1.%2.%3.%4.%5.%6.%7."/>
      <w:lvlJc w:val="left"/>
      <w:pPr>
        <w:ind w:left="3240" w:hanging="1080"/>
      </w:pPr>
    </w:lvl>
    <w:lvl w:ilvl="7" w:tentative="0">
      <w:start w:val="1"/>
      <w:numFmt w:val="decimal"/>
      <w:lvlText w:val="%1.%2.%3.%4.%5.%6.%7.%8."/>
      <w:lvlJc w:val="left"/>
      <w:pPr>
        <w:ind w:left="3744" w:hanging="1224"/>
      </w:pPr>
    </w:lvl>
    <w:lvl w:ilvl="8" w:tentative="0">
      <w:start w:val="1"/>
      <w:numFmt w:val="decimal"/>
      <w:lvlText w:val="%1.%2.%3.%4.%5.%6.%7.%8.%9."/>
      <w:lvlJc w:val="left"/>
      <w:pPr>
        <w:ind w:left="4320" w:hanging="1440"/>
      </w:pPr>
    </w:lvl>
  </w:abstractNum>
  <w:abstractNum w:abstractNumId="4">
    <w:multiLevelType w:val="multilevel"/>
    <w:lvl w:ilvl="0" w:tentative="0">
      <w:start w:val="1"/>
      <w:numFmt w:val="decimal"/>
      <w:lvlText w:val="%1."/>
      <w:lvlJc w:val="left"/>
      <w:pPr>
        <w:ind w:left="360" w:hanging="360"/>
      </w:pPr>
    </w:lvl>
    <w:lvl w:ilvl="1" w:tentative="0">
      <w:start w:val="1"/>
      <w:numFmt w:val="decimal"/>
      <w:lvlText w:val="%1.%2."/>
      <w:lvlJc w:val="left"/>
      <w:pPr>
        <w:ind w:left="792" w:hanging="432"/>
      </w:pPr>
    </w:lvl>
    <w:lvl w:ilvl="2" w:tentative="0">
      <w:start w:val="1"/>
      <w:numFmt w:val="decimal"/>
      <w:lvlText w:val="4.8.%3."/>
      <w:lvlJc w:val="left"/>
      <w:pPr>
        <w:ind w:left="1224" w:hanging="504"/>
      </w:pPr>
      <w:rPr>
        <w:b w:val="off"/>
        <w:i w:val="off"/>
        <w:u w:val="none"/>
      </w:rPr>
    </w:lvl>
    <w:lvl w:ilvl="3" w:tentative="0">
      <w:start w:val="1"/>
      <w:numFmt w:val="decimal"/>
      <w:lvlText w:val="%1.%2.%3.%4."/>
      <w:lvlJc w:val="left"/>
      <w:pPr>
        <w:ind w:left="1728" w:hanging="647"/>
      </w:pPr>
    </w:lvl>
    <w:lvl w:ilvl="4" w:tentative="0">
      <w:start w:val="1"/>
      <w:numFmt w:val="decimal"/>
      <w:lvlText w:val="%1.%2.%3.%4.%5."/>
      <w:lvlJc w:val="left"/>
      <w:pPr>
        <w:ind w:left="2232" w:hanging="792"/>
      </w:pPr>
    </w:lvl>
    <w:lvl w:ilvl="5" w:tentative="0">
      <w:start w:val="1"/>
      <w:numFmt w:val="decimal"/>
      <w:lvlText w:val="%1.%2.%3.%4.%5.%6."/>
      <w:lvlJc w:val="left"/>
      <w:pPr>
        <w:ind w:left="2736" w:hanging="933"/>
      </w:pPr>
    </w:lvl>
    <w:lvl w:ilvl="6" w:tentative="0">
      <w:start w:val="1"/>
      <w:numFmt w:val="decimal"/>
      <w:lvlText w:val="%1.%2.%3.%4.%5.%6.%7."/>
      <w:lvlJc w:val="left"/>
      <w:pPr>
        <w:ind w:left="3240" w:hanging="1080"/>
      </w:pPr>
    </w:lvl>
    <w:lvl w:ilvl="7" w:tentative="0">
      <w:start w:val="1"/>
      <w:numFmt w:val="decimal"/>
      <w:lvlText w:val="%1.%2.%3.%4.%5.%6.%7.%8."/>
      <w:lvlJc w:val="left"/>
      <w:pPr>
        <w:ind w:left="3744" w:hanging="1224"/>
      </w:pPr>
    </w:lvl>
    <w:lvl w:ilvl="8" w:tentative="0">
      <w:start w:val="1"/>
      <w:numFmt w:val="decimal"/>
      <w:lvlText w:val="%1.%2.%3.%4.%5.%6.%7.%8.%9."/>
      <w:lvlJc w:val="left"/>
      <w:pPr>
        <w:ind w:left="4320" w:hanging="1440"/>
      </w:pPr>
    </w:lvl>
  </w:abstractNum>
  <w:num w:numId="1">
    <w:abstractNumId w:val="2"/>
  </w:num>
  <w:num w:numId="2">
    <w:abstractNumId w:val="4"/>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6B3E"/>
    <w:rsid w:val="001E4E4C"/>
    <w:rsid w:val="002C5C34"/>
    <w:rsid w:val="003823AF"/>
    <w:rsid w:val="003B0B9E"/>
    <w:rsid w:val="00494E41"/>
    <w:rsid w:val="00643C1C"/>
    <w:rsid w:val="00672B99"/>
    <w:rsid w:val="00686B3E"/>
    <w:rsid w:val="00861D66"/>
    <w:rsid w:val="008C475D"/>
    <w:rsid w:val="00F715C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09BFCD"/>
  <w15:chartTrackingRefBased/>
  <w15:docId w15:val="{EE82FB2D-A5A4-4FFE-828D-E6FCCD7A6FA9}"/>
  <w:footnotePr>
    <w:footnote w:id="0"/>
    <w:footnote w:id="1"/>
  </w:footnotePr>
  <w:endnotePr>
    <w:endnote w:id="0"/>
    <w:endnote w:id="1"/>
  </w:endnotePr>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Theme="minorHAnsi" w:cstheme="minorBidi" w:eastAsiaTheme="minorHAnsi" w:hAnsiTheme="minorHAnsi"/>
        <w:sz w:val="22"/>
        <w:szCs w:val="22"/>
        <w:lang w:val="lv-LV" w:bidi="ar-SA" w:eastAsia="en-US"/>
        <w14:ligatures w14:val="standardContextual"/>
      </w:rPr>
    </w:rPrDefault>
    <w:pPrDefault>
      <w:pPr>
        <w:spacing w:after="160" w:line="259" w:lineRule="auto"/>
      </w:pPr>
    </w:pPrDefault>
  </w:docDefaults>
  <w:style w:type="paragraph" w:styleId="Heading1">
    <w:name w:val="Heading 1"/>
    <w:basedOn w:val="Normal"/>
    <w:next w:val="Normal"/>
    <w:link w:val="Heading1Char"/>
    <w:uiPriority w:val="9"/>
    <w:qFormat w:val="on"/>
    <w:pPr>
      <w:keepNext w:val="on"/>
      <w:keepLines w:val="on"/>
      <w:spacing w:before="480" w:after="0"/>
    </w:pPr>
    <w:rPr>
      <w:rFonts w:asciiTheme="majorHAnsi" w:cstheme="majorBidi" w:eastAsiaTheme="majorEastAsia" w:hAnsiTheme="majorHAnsi"/>
      <w:b/>
      <w:bCs/>
      <w:color w:val="2f5395" w:themeColor="accent1" w:themeShade="bf"/>
      <w:sz w:val="28"/>
      <w:szCs w:val="28"/>
    </w:rPr>
  </w:style>
  <w:style w:type="paragraph" w:styleId="Heading2">
    <w:name w:val="Heading 2"/>
    <w:basedOn w:val="Normal"/>
    <w:next w:val="Normal"/>
    <w:link w:val="Heading2Char"/>
    <w:uiPriority w:val="9"/>
    <w:semiHidden w:val="on"/>
    <w:unhideWhenUsed w:val="on"/>
    <w:qFormat w:val="on"/>
    <w:pPr>
      <w:keepNext w:val="on"/>
      <w:keepLines w:val="on"/>
      <w:spacing w:before="200" w:after="0"/>
    </w:pPr>
    <w:rPr>
      <w:rFonts w:asciiTheme="majorHAnsi" w:cstheme="majorBidi" w:eastAsiaTheme="majorEastAsia" w:hAnsiTheme="majorHAnsi"/>
      <w:b/>
      <w:bCs/>
      <w:color w:val="4472c4" w:themeColor="accent1"/>
      <w:sz w:val="26"/>
      <w:szCs w:val="26"/>
    </w:rPr>
  </w:style>
  <w:style w:type="paragraph" w:styleId="Heading3">
    <w:name w:val="Heading 3"/>
    <w:basedOn w:val="Normal"/>
    <w:next w:val="Normal"/>
    <w:link w:val="Heading3Char"/>
    <w:uiPriority w:val="9"/>
    <w:semiHidden w:val="on"/>
    <w:unhideWhenUsed w:val="on"/>
    <w:qFormat w:val="on"/>
    <w:pPr>
      <w:keepNext w:val="on"/>
      <w:keepLines w:val="on"/>
      <w:spacing w:before="200" w:after="0"/>
    </w:pPr>
    <w:rPr>
      <w:rFonts w:asciiTheme="majorHAnsi" w:cstheme="majorBidi" w:eastAsiaTheme="majorEastAsia" w:hAnsiTheme="majorHAnsi"/>
      <w:b/>
      <w:bCs/>
      <w:color w:val="4472c4" w:themeColor="accent1"/>
    </w:rPr>
  </w:style>
  <w:style w:type="paragraph" w:styleId="Heading4">
    <w:name w:val="Heading 4"/>
    <w:basedOn w:val="Normal"/>
    <w:next w:val="Normal"/>
    <w:link w:val="Heading4Char"/>
    <w:uiPriority w:val="9"/>
    <w:semiHidden w:val="on"/>
    <w:unhideWhenUsed w:val="on"/>
    <w:qFormat w:val="on"/>
    <w:pPr>
      <w:keepNext w:val="on"/>
      <w:keepLines w:val="on"/>
      <w:spacing w:before="200" w:after="0"/>
    </w:pPr>
    <w:rPr>
      <w:rFonts w:asciiTheme="majorHAnsi" w:cstheme="majorBidi" w:eastAsiaTheme="majorEastAsia" w:hAnsiTheme="majorHAnsi"/>
      <w:b/>
      <w:bCs/>
      <w:i/>
      <w:iCs/>
      <w:color w:val="4472c4" w:themeColor="accent1"/>
    </w:rPr>
  </w:style>
  <w:style w:type="paragraph" w:styleId="Heading5">
    <w:name w:val="Heading 5"/>
    <w:basedOn w:val="Normal"/>
    <w:next w:val="Normal"/>
    <w:link w:val="Heading5Char"/>
    <w:uiPriority w:val="9"/>
    <w:semiHidden w:val="on"/>
    <w:unhideWhenUsed w:val="on"/>
    <w:qFormat w:val="on"/>
    <w:pPr>
      <w:keepNext w:val="on"/>
      <w:keepLines w:val="on"/>
      <w:spacing w:before="200" w:after="0"/>
    </w:pPr>
    <w:rPr>
      <w:rFonts w:asciiTheme="majorHAnsi" w:cstheme="majorBidi" w:eastAsiaTheme="majorEastAsia" w:hAnsiTheme="majorHAnsi"/>
      <w:color w:val="1f3763" w:themeColor="accent1" w:themeShade="7f"/>
    </w:rPr>
  </w:style>
  <w:style w:type="paragraph" w:styleId="Heading6">
    <w:name w:val="Heading 6"/>
    <w:basedOn w:val="Normal"/>
    <w:next w:val="Normal"/>
    <w:link w:val="Heading6Char"/>
    <w:uiPriority w:val="9"/>
    <w:semiHidden w:val="on"/>
    <w:unhideWhenUsed w:val="on"/>
    <w:qFormat w:val="on"/>
    <w:pPr>
      <w:keepNext w:val="on"/>
      <w:keepLines w:val="on"/>
      <w:spacing w:before="200" w:after="0"/>
    </w:pPr>
    <w:rPr>
      <w:rFonts w:asciiTheme="majorHAnsi" w:cstheme="majorBidi" w:eastAsiaTheme="majorEastAsia" w:hAnsiTheme="majorHAnsi"/>
      <w:i/>
      <w:iCs/>
      <w:color w:val="1f3763" w:themeColor="accent1" w:themeShade="7f"/>
    </w:rPr>
  </w:style>
  <w:style w:type="paragraph" w:styleId="Heading7">
    <w:name w:val="Heading 7"/>
    <w:basedOn w:val="Normal"/>
    <w:next w:val="Normal"/>
    <w:link w:val="Heading7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rPr>
  </w:style>
  <w:style w:type="paragraph" w:styleId="Heading8">
    <w:name w:val="Heading 8"/>
    <w:basedOn w:val="Normal"/>
    <w:next w:val="Normal"/>
    <w:link w:val="Heading8Char"/>
    <w:uiPriority w:val="9"/>
    <w:semiHidden w:val="on"/>
    <w:unhideWhenUsed w:val="on"/>
    <w:qFormat w:val="on"/>
    <w:pPr>
      <w:keepNext w:val="on"/>
      <w:keepLines w:val="on"/>
      <w:spacing w:before="200" w:after="0"/>
    </w:pPr>
    <w:rPr>
      <w:rFonts w:asciiTheme="majorHAnsi" w:cstheme="majorBidi" w:eastAsiaTheme="majorEastAsia" w:hAnsiTheme="majorHAnsi"/>
      <w:color w:val="404040" w:themeColor="text1" w:themeTint="bf"/>
      <w:sz w:val="20"/>
      <w:szCs w:val="20"/>
    </w:rPr>
  </w:style>
  <w:style w:type="paragraph" w:styleId="Heading9">
    <w:name w:val="Heading 9"/>
    <w:basedOn w:val="Normal"/>
    <w:next w:val="Normal"/>
    <w:link w:val="Heading9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sz w:val="20"/>
      <w:szCs w:val="20"/>
    </w:rPr>
  </w:style>
  <w:style w:type="paragraph" w:styleId="NoSpacing">
    <w:name w:val="No Spacing"/>
    <w:uiPriority w:val="1"/>
    <w:qFormat w:val="on"/>
    <w:pPr>
      <w:spacing w:after="0" w:line="240" w:lineRule="auto"/>
    </w:pPr>
  </w:style>
  <w:style w:type="character" w:customStyle="1" w:styleId="Heading1Char">
    <w:name w:val="Heading 1 Char"/>
    <w:basedOn w:val="DefaultParagraphFont"/>
    <w:link w:val="Heading1"/>
    <w:uiPriority w:val="9"/>
    <w:rPr>
      <w:rFonts w:asciiTheme="majorHAnsi" w:cstheme="majorBidi" w:eastAsiaTheme="majorEastAsia" w:hAnsiTheme="majorHAnsi"/>
      <w:b/>
      <w:bCs/>
      <w:color w:val="2f5395" w:themeColor="accent1" w:themeShade="bf"/>
      <w:sz w:val="28"/>
      <w:szCs w:val="28"/>
    </w:rPr>
  </w:style>
  <w:style w:type="character" w:customStyle="1" w:styleId="Heading2Char">
    <w:name w:val="Heading 2 Char"/>
    <w:basedOn w:val="DefaultParagraphFont"/>
    <w:link w:val="Heading2"/>
    <w:uiPriority w:val="9"/>
    <w:rPr>
      <w:rFonts w:asciiTheme="majorHAnsi" w:cstheme="majorBidi" w:eastAsiaTheme="majorEastAsia" w:hAnsiTheme="majorHAnsi"/>
      <w:b/>
      <w:bCs/>
      <w:color w:val="4472c4" w:themeColor="accent1"/>
      <w:sz w:val="26"/>
      <w:szCs w:val="26"/>
    </w:rPr>
  </w:style>
  <w:style w:type="character" w:customStyle="1" w:styleId="Heading3Char">
    <w:name w:val="Heading 3 Char"/>
    <w:basedOn w:val="DefaultParagraphFont"/>
    <w:link w:val="Heading3"/>
    <w:uiPriority w:val="9"/>
    <w:rPr>
      <w:rFonts w:asciiTheme="majorHAnsi" w:cstheme="majorBidi" w:eastAsiaTheme="majorEastAsia" w:hAnsiTheme="majorHAnsi"/>
      <w:b/>
      <w:bCs/>
      <w:color w:val="4472c4" w:themeColor="accent1"/>
    </w:rPr>
  </w:style>
  <w:style w:type="character" w:customStyle="1" w:styleId="Heading4Char">
    <w:name w:val="Heading 4 Char"/>
    <w:basedOn w:val="DefaultParagraphFont"/>
    <w:link w:val="Heading4"/>
    <w:uiPriority w:val="9"/>
    <w:rPr>
      <w:rFonts w:asciiTheme="majorHAnsi" w:cstheme="majorBidi" w:eastAsiaTheme="majorEastAsia" w:hAnsiTheme="majorHAnsi"/>
      <w:b/>
      <w:bCs/>
      <w:i/>
      <w:iCs/>
      <w:color w:val="4472c4" w:themeColor="accent1"/>
    </w:rPr>
  </w:style>
  <w:style w:type="character" w:customStyle="1" w:styleId="Heading5Char">
    <w:name w:val="Heading 5 Char"/>
    <w:basedOn w:val="DefaultParagraphFont"/>
    <w:link w:val="Heading5"/>
    <w:uiPriority w:val="9"/>
    <w:rPr>
      <w:rFonts w:asciiTheme="majorHAnsi" w:cstheme="majorBidi" w:eastAsiaTheme="majorEastAsia" w:hAnsiTheme="majorHAnsi"/>
      <w:color w:val="1f3763" w:themeColor="accent1" w:themeShade="7f"/>
    </w:rPr>
  </w:style>
  <w:style w:type="character" w:customStyle="1" w:styleId="Heading6Char">
    <w:name w:val="Heading 6 Char"/>
    <w:basedOn w:val="DefaultParagraphFont"/>
    <w:link w:val="Heading6"/>
    <w:uiPriority w:val="9"/>
    <w:rPr>
      <w:rFonts w:asciiTheme="majorHAnsi" w:cstheme="majorBidi" w:eastAsiaTheme="majorEastAsia" w:hAnsiTheme="majorHAnsi"/>
      <w:i/>
      <w:iCs/>
      <w:color w:val="1f3763" w:themeColor="accent1" w:themeShade="7f"/>
    </w:rPr>
  </w:style>
  <w:style w:type="character" w:customStyle="1" w:styleId="Heading7Char">
    <w:name w:val="Heading 7 Char"/>
    <w:basedOn w:val="DefaultParagraphFont"/>
    <w:link w:val="Heading7"/>
    <w:uiPriority w:val="9"/>
    <w:rPr>
      <w:rFonts w:asciiTheme="majorHAnsi" w:cstheme="majorBidi" w:eastAsiaTheme="majorEastAsia" w:hAnsiTheme="majorHAnsi"/>
      <w:i/>
      <w:iCs/>
      <w:color w:val="404040" w:themeColor="text1" w:themeTint="bf"/>
    </w:rPr>
  </w:style>
  <w:style w:type="character" w:customStyle="1" w:styleId="Heading8Char">
    <w:name w:val="Heading 8 Char"/>
    <w:basedOn w:val="DefaultParagraphFont"/>
    <w:link w:val="Heading8"/>
    <w:uiPriority w:val="9"/>
    <w:rPr>
      <w:rFonts w:asciiTheme="majorHAnsi" w:cstheme="majorBidi" w:eastAsiaTheme="majorEastAsia" w:hAnsiTheme="majorHAnsi"/>
      <w:color w:val="404040" w:themeColor="text1" w:themeTint="bf"/>
      <w:sz w:val="20"/>
      <w:szCs w:val="20"/>
    </w:rPr>
  </w:style>
  <w:style w:type="character" w:customStyle="1" w:styleId="Heading9Char">
    <w:name w:val="Heading 9 Char"/>
    <w:basedOn w:val="DefaultParagraphFont"/>
    <w:link w:val="Heading9"/>
    <w:uiPriority w:val="9"/>
    <w:rPr>
      <w:rFonts w:asciiTheme="majorHAnsi" w:cstheme="majorBidi" w:eastAsiaTheme="majorEastAsia" w:hAnsiTheme="majorHAnsi"/>
      <w:i/>
      <w:iCs/>
      <w:color w:val="404040" w:themeColor="text1" w:themeTint="bf"/>
      <w:sz w:val="20"/>
      <w:szCs w:val="20"/>
    </w:rPr>
  </w:style>
  <w:style w:type="paragraph" w:styleId="Title">
    <w:name w:val="Title"/>
    <w:basedOn w:val="Normal"/>
    <w:next w:val="Normal"/>
    <w:link w:val="TitleChar"/>
    <w:uiPriority w:val="10"/>
    <w:qFormat w:val="on"/>
    <w:pPr>
      <w:pBdr>
        <w:bottom w:val="single" w:color="4472c4" w:themeColor="accent1" w:sz="8" w:space="4"/>
      </w:pBdr>
      <w:spacing w:after="300" w:line="240" w:lineRule="auto"/>
      <w:contextualSpacing w:val="on"/>
    </w:pPr>
    <w:rPr>
      <w:rFonts w:asciiTheme="majorHAnsi" w:cstheme="majorBidi" w:eastAsiaTheme="majorEastAsia" w:hAnsiTheme="majorHAnsi"/>
      <w:color w:val="333f4f" w:themeColor="text2" w:themeShade="bf"/>
      <w:spacing w:val="5"/>
      <w:sz w:val="52"/>
      <w:szCs w:val="52"/>
    </w:rPr>
  </w:style>
  <w:style w:type="character" w:customStyle="1" w:styleId="TitleChar">
    <w:name w:val="Title Char"/>
    <w:basedOn w:val="DefaultParagraphFont"/>
    <w:link w:val="Title"/>
    <w:uiPriority w:val="10"/>
    <w:rPr>
      <w:rFonts w:asciiTheme="majorHAnsi" w:cstheme="majorBidi" w:eastAsiaTheme="majorEastAsia" w:hAnsiTheme="majorHAnsi"/>
      <w:color w:val="333f4f" w:themeColor="text2" w:themeShade="bf"/>
      <w:spacing w:val="5"/>
      <w:sz w:val="52"/>
      <w:szCs w:val="52"/>
    </w:rPr>
  </w:style>
  <w:style w:type="paragraph" w:styleId="Subtitle">
    <w:name w:val="Subtitle"/>
    <w:basedOn w:val="Normal"/>
    <w:next w:val="Normal"/>
    <w:link w:val="SubtitleChar"/>
    <w:uiPriority w:val="11"/>
    <w:qFormat w:val="on"/>
    <w:pPr/>
    <w:rPr>
      <w:rFonts w:asciiTheme="majorHAnsi" w:cstheme="majorBidi" w:eastAsiaTheme="majorEastAsia" w:hAnsiTheme="majorHAnsi"/>
      <w:i/>
      <w:iCs/>
      <w:color w:val="4472c4" w:themeColor="accent1"/>
      <w:spacing w:val="15"/>
      <w:sz w:val="24"/>
      <w:szCs w:val="24"/>
    </w:rPr>
  </w:style>
  <w:style w:type="character" w:customStyle="1" w:styleId="SubtitleChar">
    <w:name w:val="Subtitle Char"/>
    <w:basedOn w:val="DefaultParagraphFont"/>
    <w:link w:val="Subtitle"/>
    <w:uiPriority w:val="11"/>
    <w:rPr>
      <w:rFonts w:asciiTheme="majorHAnsi" w:cstheme="majorBidi" w:eastAsiaTheme="majorEastAsia" w:hAnsiTheme="majorHAnsi"/>
      <w:i/>
      <w:iCs/>
      <w:color w:val="4472c4" w:themeColor="accent1"/>
      <w:spacing w:val="15"/>
      <w:sz w:val="24"/>
      <w:szCs w:val="24"/>
    </w:rPr>
  </w:style>
  <w:style w:type="character" w:styleId="SubtleEmphasis">
    <w:name w:val="Subtle Emphasis"/>
    <w:basedOn w:val="DefaultParagraphFont"/>
    <w:uiPriority w:val="19"/>
    <w:qFormat w:val="on"/>
    <w:rPr>
      <w:i/>
      <w:iCs/>
      <w:color w:val="808080" w:themeColor="text1" w:themeTint="7f"/>
    </w:rPr>
  </w:style>
  <w:style w:type="character" w:styleId="Emphasis">
    <w:name w:val="Emphasis"/>
    <w:basedOn w:val="DefaultParagraphFont"/>
    <w:uiPriority w:val="20"/>
    <w:qFormat w:val="on"/>
    <w:rPr>
      <w:i/>
      <w:iCs/>
    </w:rPr>
  </w:style>
  <w:style w:type="character" w:styleId="IntenseEmphasis">
    <w:name w:val="Intense Emphasis"/>
    <w:basedOn w:val="DefaultParagraphFont"/>
    <w:uiPriority w:val="21"/>
    <w:qFormat w:val="on"/>
    <w:rPr>
      <w:b/>
      <w:bCs/>
      <w:i/>
      <w:iCs/>
      <w:color w:val="4472c4" w:themeColor="accent1"/>
    </w:rPr>
  </w:style>
  <w:style w:type="character" w:styleId="Strong">
    <w:name w:val="Strong"/>
    <w:basedOn w:val="DefaultParagraphFont"/>
    <w:uiPriority w:val="22"/>
    <w:qFormat w:val="on"/>
    <w:rPr>
      <w:b/>
      <w:bCs/>
    </w:rPr>
  </w:style>
  <w:style w:type="paragraph" w:styleId="Quote">
    <w:name w:val="Quote"/>
    <w:basedOn w:val="Normal"/>
    <w:next w:val="Normal"/>
    <w:link w:val="QuoteChar"/>
    <w:uiPriority w:val="29"/>
    <w:qFormat w:val="on"/>
    <w:rPr>
      <w:i/>
      <w:iCs/>
      <w:color w:val="000000" w:themeColor="text1"/>
    </w:rPr>
  </w:style>
  <w:style w:type="character" w:customStyle="1" w:styleId="QuoteChar">
    <w:name w:val="Quote Char"/>
    <w:basedOn w:val="DefaultParagraphFont"/>
    <w:link w:val="Quote"/>
    <w:uiPriority w:val="29"/>
    <w:rPr>
      <w:i/>
      <w:iCs/>
      <w:color w:val="000000" w:themeColor="text1"/>
    </w:rPr>
  </w:style>
  <w:style w:type="paragraph" w:styleId="IntenseQuote">
    <w:name w:val="Intense Quote"/>
    <w:basedOn w:val="Normal"/>
    <w:next w:val="Normal"/>
    <w:link w:val="IntenseQuoteChar"/>
    <w:uiPriority w:val="30"/>
    <w:qFormat w:val="on"/>
    <w:pPr>
      <w:pBdr>
        <w:bottom w:val="single" w:color="4472c4" w:themeColor="accent1" w:sz="4" w:space="4"/>
      </w:pBdr>
      <w:spacing w:before="200" w:after="280"/>
      <w:ind w:left="936" w:right="936"/>
    </w:pPr>
    <w:rPr>
      <w:b/>
      <w:bCs/>
      <w:i/>
      <w:iCs/>
      <w:color w:val="4472c4" w:themeColor="accent1"/>
    </w:rPr>
  </w:style>
  <w:style w:type="character" w:customStyle="1" w:styleId="IntenseQuoteChar">
    <w:name w:val="Intense Quote Char"/>
    <w:basedOn w:val="DefaultParagraphFont"/>
    <w:link w:val="IntenseQuote"/>
    <w:uiPriority w:val="30"/>
    <w:rPr>
      <w:b/>
      <w:bCs/>
      <w:i/>
      <w:iCs/>
      <w:color w:val="4472c4" w:themeColor="accent1"/>
    </w:rPr>
  </w:style>
  <w:style w:type="character" w:styleId="SubtleReference">
    <w:name w:val="Subtle Reference"/>
    <w:basedOn w:val="DefaultParagraphFont"/>
    <w:uiPriority w:val="31"/>
    <w:qFormat w:val="on"/>
    <w:rPr>
      <w:smallCaps/>
      <w:color w:val="ed7d31" w:themeColor="accent2"/>
      <w:u w:val="single"/>
    </w:rPr>
  </w:style>
  <w:style w:type="character" w:styleId="IntenseReference">
    <w:name w:val="Intense Reference"/>
    <w:basedOn w:val="DefaultParagraphFont"/>
    <w:uiPriority w:val="32"/>
    <w:qFormat w:val="on"/>
    <w:rPr>
      <w:b/>
      <w:bCs/>
      <w:smallCaps/>
      <w:color w:val="ed7d31" w:themeColor="accent2"/>
      <w:spacing w:val="5"/>
      <w:u w:val="single"/>
    </w:rPr>
  </w:style>
  <w:style w:type="character" w:styleId="BookTitle">
    <w:name w:val="Book Title"/>
    <w:basedOn w:val="DefaultParagraphFont"/>
    <w:uiPriority w:val="33"/>
    <w:qFormat w:val="on"/>
    <w:rPr>
      <w:b/>
      <w:bCs/>
      <w:smallCaps/>
      <w:spacing w:val="5"/>
    </w:rPr>
  </w:style>
  <w:style w:type="paragraph" w:styleId="ListParagraph">
    <w:name w:val="List Paragraph"/>
    <w:basedOn w:val="Normal"/>
    <w:uiPriority w:val="34"/>
    <w:qFormat w:val="on"/>
    <w:pPr>
      <w:ind w:left="720"/>
      <w:contextualSpacing w:val="on"/>
    </w:pPr>
  </w:style>
  <w:style w:type="paragraph" w:styleId="Footnotetext">
    <w:name w:val="Footnote text"/>
    <w:basedOn w:val="Normal"/>
    <w:link w:val="FootnoteTextChar"/>
    <w:uiPriority w:val="99"/>
    <w:semiHidden w:val="on"/>
    <w:unhideWhenUsed w:val="on"/>
    <w:pPr>
      <w:spacing w:after="0" w:line="240" w:lineRule="auto"/>
    </w:pPr>
    <w:rPr>
      <w:sz w:val="20"/>
      <w:szCs w:val="20"/>
    </w:rPr>
  </w:style>
  <w:style w:type="character" w:customStyle="1" w:styleId="FootnoteTextChar">
    <w:name w:val="Footnote Text Char"/>
    <w:basedOn w:val="DefaultParagraphFont"/>
    <w:link w:val="Footnotetext"/>
    <w:uiPriority w:val="99"/>
    <w:semiHidden w:val="on"/>
    <w:rPr>
      <w:sz w:val="20"/>
      <w:szCs w:val="20"/>
    </w:rPr>
  </w:style>
  <w:style w:type="character" w:styleId="Footnotereference">
    <w:name w:val="Footnote reference"/>
    <w:basedOn w:val="DefaultParagraphFont"/>
    <w:uiPriority w:val="99"/>
    <w:semiHidden w:val="on"/>
    <w:unhideWhenUsed w:val="on"/>
    <w:rPr>
      <w:vertAlign w:val="superscript"/>
    </w:rPr>
  </w:style>
  <w:style w:type="paragraph" w:styleId="Endnotetext">
    <w:name w:val="Endnote text"/>
    <w:basedOn w:val="Normal"/>
    <w:link w:val="EndnoteTextChar"/>
    <w:uiPriority w:val="99"/>
    <w:semiHidden w:val="on"/>
    <w:unhideWhenUsed w:val="on"/>
    <w:pPr>
      <w:spacing w:after="0" w:line="240" w:lineRule="auto"/>
    </w:pPr>
    <w:rPr>
      <w:sz w:val="20"/>
      <w:szCs w:val="20"/>
    </w:rPr>
  </w:style>
  <w:style w:type="character" w:customStyle="1" w:styleId="EndnoteTextChar">
    <w:name w:val="Endnote Text Char"/>
    <w:basedOn w:val="DefaultParagraphFont"/>
    <w:link w:val="Endnotetext"/>
    <w:uiPriority w:val="99"/>
    <w:semiHidden w:val="on"/>
    <w:rPr>
      <w:sz w:val="20"/>
      <w:szCs w:val="20"/>
    </w:rPr>
  </w:style>
  <w:style w:type="character" w:styleId="Endnotereference">
    <w:name w:val="Endnote reference"/>
    <w:basedOn w:val="DefaultParagraphFont"/>
    <w:uiPriority w:val="99"/>
    <w:semiHidden w:val="on"/>
    <w:unhideWhenUsed w:val="on"/>
    <w:rPr>
      <w:vertAlign w:val="superscript"/>
    </w:rPr>
  </w:style>
  <w:style w:type="paragraph" w:styleId="PlainText">
    <w:name w:val="Plain Text"/>
    <w:basedOn w:val="Normal"/>
    <w:link w:val="PlainTextChar"/>
    <w:uiPriority w:val="99"/>
    <w:semiHidden w:val="on"/>
    <w:unhideWhenUsed w:val="on"/>
    <w:pPr>
      <w:spacing w:after="0" w:line="240" w:lineRule="auto"/>
    </w:pPr>
    <w:rPr>
      <w:rFonts w:ascii="Courier New" w:cs="Courier New" w:hAnsi="Courier New"/>
      <w:sz w:val="21"/>
      <w:szCs w:val="21"/>
    </w:rPr>
  </w:style>
  <w:style w:type="character" w:customStyle="1" w:styleId="PlainTextChar">
    <w:name w:val="Plain Text Char"/>
    <w:basedOn w:val="DefaultParagraphFont"/>
    <w:link w:val="PlainText"/>
    <w:uiPriority w:val="99"/>
    <w:rPr>
      <w:rFonts w:ascii="Courier New" w:cs="Courier New" w:hAnsi="Courier New"/>
      <w:sz w:val="21"/>
      <w:szCs w:val="21"/>
    </w:rPr>
  </w:style>
  <w:style w:type="paragraph" w:styleId="Header">
    <w:name w:val="Header"/>
    <w:basedOn w:val="Normal"/>
    <w:link w:val="HeaderChar"/>
    <w:uiPriority w:val="99"/>
    <w:unhideWhenUsed w:val="on"/>
    <w:pPr>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val="on"/>
    <w:pPr>
      <w:spacing w:after="0" w:line="240" w:lineRule="auto"/>
    </w:pPr>
  </w:style>
  <w:style w:type="character" w:customStyle="1" w:styleId="FooterChar">
    <w:name w:val="Footer Char"/>
    <w:basedOn w:val="DefaultParagraphFont"/>
    <w:link w:val="Footer"/>
    <w:uiPriority w:val="99"/>
  </w:style>
  <w:style w:type="paragraph" w:styleId="Caption">
    <w:name w:val="Caption"/>
    <w:basedOn w:val="Normal"/>
    <w:next w:val="Normal"/>
    <w:uiPriority w:val="35"/>
    <w:unhideWhenUsed w:val="on"/>
    <w:qFormat w:val="on"/>
    <w:pPr>
      <w:spacing w:after="200" w:line="240" w:lineRule="auto"/>
    </w:pPr>
    <w:rPr>
      <w:i/>
      <w:iCs/>
      <w:color w:val="44546a" w:themeColor="text2"/>
      <w:sz w:val="18"/>
      <w:szCs w:val="18"/>
    </w:rPr>
  </w:style>
  <w:style w:type="paragraph" w:default="1" w:styleId="Normal">
    <w:name w:val="Normal"/>
    <w:uiPriority w:val="99"/>
    <w:qFormat w:val="on"/>
    <w:rPr>
      <w:rFonts w:ascii="Calibri" w:cs="Calibri" w:eastAsia="Calibri" w:hAnsi="Calibri"/>
      <w:lang w:eastAsia="lv-LV"/>
    </w:rPr>
  </w:style>
  <w:style w:type="character" w:default="1" w:styleId="DefaultParagraphFont">
    <w:name w:val="Default Paragraph Font"/>
    <w:uiPriority w:val="1"/>
    <w:semiHidden w:val="on"/>
    <w:unhideWhenUsed w:val="on"/>
  </w:style>
  <w:style w:type="table" w:default="1" w:styleId="NormalTable">
    <w:name w:val="Normal Table"/>
    <w:uiPriority w:val="99"/>
    <w:semiHidden w:val="on"/>
    <w:unhideWhenUsed w:val="on"/>
    <w:tblPr>
      <w:tblInd w:w="0" w:type="dxa"/>
      <w:tblCellMar>
        <w:top w:w="0" w:type="dxa"/>
        <w:left w:w="108" w:type="dxa"/>
        <w:bottom w:w="0" w:type="dxa"/>
        <w:right w:w="108" w:type="dxa"/>
      </w:tblCellMar>
    </w:tblPr>
  </w:style>
  <w:style w:type="numbering" w:default="1" w:styleId="NoList">
    <w:name w:val="No List"/>
    <w:uiPriority w:val="99"/>
    <w:semiHidden w:val="on"/>
    <w:unhideWhenUsed w:val="on"/>
  </w:style>
  <w:style w:type="character" w:styleId="Hyperlink">
    <w:name w:val="Hyperlink"/>
    <w:basedOn w:val="DefaultParagraphFont"/>
    <w:uiPriority w:val="99"/>
    <w:unhideWhenUsed w:val="on"/>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 Type="http://schemas.openxmlformats.org/officeDocument/2006/relationships/numbering" Target="numbering.xml"/><Relationship Id="rId13" Type="http://schemas.openxmlformats.org/officeDocument/2006/relationships/fontTable" Target="fontTable.xml"/><Relationship Id="rId14" Type="http://schemas.openxmlformats.org/officeDocument/2006/relationships/theme" Target="theme/theme1.xml"/><Relationship Id="rId2" Type="http://schemas.openxmlformats.org/officeDocument/2006/relationships/styles" Target="styles.xml"/><Relationship Id="rId3" Type="http://schemas.openxmlformats.org/officeDocument/2006/relationships/settings" Target="settings.xml"/><Relationship Id="rId43" Type="http://schemas.openxmlformats.org/officeDocument/2006/relationships/header" Target="header1.xml"/><Relationship Id="rId44" Type="http://schemas.openxmlformats.org/officeDocument/2006/relationships/footer" Target="footer1.xml"/><Relationship Id="rId5" Type="http://schemas.openxmlformats.org/officeDocument/2006/relationships/footnotes" Target="footnotes.xml"/><Relationship Id="rId6" Type="http://schemas.openxmlformats.org/officeDocument/2006/relationships/endnotes" Target="endnotes.xml"/><Relationship Id="rId4" Type="http://schemas.openxmlformats.org/officeDocument/2006/relationships/webSettings" Target="webSettings.xml"/><Relationship Id="rId7" Type="http://schemas.openxmlformats.org/officeDocument/2006/relationships/hyperlink" Target="http://www.lnsc.lv" TargetMode="External"/><Relationship Id="rId8" Type="http://schemas.openxmlformats.org/officeDocument/2006/relationships/hyperlink" Target="http://www.vni.lv" TargetMode="External"/><Relationship Id="rId9" Type="http://schemas.openxmlformats.org/officeDocument/2006/relationships/hyperlink" Target="http://www.daugavasstadions.lv" TargetMode="External"/><Relationship Id="rId10" Type="http://schemas.openxmlformats.org/officeDocument/2006/relationships/hyperlink" Target="http://www.vni.lv" TargetMode="External"/></Relationships>
</file>

<file path=word/_rels/endnotes.xml.rels><?xml version="1.0" encoding="UTF-8" standalone="yes"?>
<Relationships xmlns="http://schemas.openxmlformats.org/package/2006/relationships"></Relationships>
</file>

<file path=word/_rels/footer1.xml.rels><?xml version="1.0" encoding="UTF-8" standalone="yes"?>
<Relationships xmlns="http://schemas.openxmlformats.org/package/2006/relationships"></Relationships>
</file>

<file path=word/_rels/footnotes.xml.rels><?xml version="1.0" encoding="UTF-8" standalone="yes"?>
<Relationships xmlns="http://schemas.openxmlformats.org/package/2006/relationships"></Relationships>
</file>

<file path=word/_rels/header1.xml.rels><?xml version="1.0" encoding="UTF-8" standalone="yes"?>
<Relationships xmlns="http://schemas.openxmlformats.org/package/2006/relationships"></Relationships>
</file>

<file path=word/_rels/numbering.xml.rels><?xml version="1.0" encoding="UTF-8" standalone="yes"?>
<Relationships xmlns="http://schemas.openxmlformats.org/package/2006/relationship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Arab" typeface="Times New Roman"/>
        <a:font script="Armn" typeface="Arial"/>
        <a:font script="Beng" typeface="Vrinda"/>
        <a:font script="Bopo" typeface="Microsoft JhengHei"/>
        <a:font script="Cher" typeface="Plantagenet Cherokee"/>
        <a:font script="Deva" typeface="Mangal"/>
        <a:font script="Ethi" typeface="Nyala"/>
        <a:font script="Geor" typeface="Sylfaen"/>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Mymr" typeface="Myanmar Text"/>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Osma" typeface="Ebrima"/>
        <a:font script="Tale" typeface="Microsoft Tai Le"/>
        <a:font script="Bugi" typeface="Leelawadee UI"/>
        <a:font script="Talu" typeface="Microsoft New Tai Lue"/>
        <a:font script="Tfng" typeface="Ebrima"/>
        <a:font script="Hans" typeface="等线 Light"/>
        <a:font script="Hant" typeface="新細明體"/>
        <a:font script="Java" typeface="Javanese Text"/>
        <a:font script="Nkoo" typeface="Ebrima"/>
        <a:font script="Phag" typeface="Phagspa"/>
        <a:font script="Syre" typeface="Estrangelo Edessa"/>
        <a:font script="Syrj" typeface="Estrangelo Edessa"/>
        <a:font script="Syrn" typeface="Estrangelo Edessa"/>
        <a:font script="Jpan" typeface="游ゴシック Light"/>
        <a:font script="Olck" typeface="Nirmala UI"/>
        <a:font script="Lisu" typeface="Segoe UI"/>
        <a:font script="Sora" typeface="Nirmala UI"/>
      </a:majorFont>
      <a:minorFont>
        <a:latin typeface="Calibri" panose="020F0502020204030204"/>
        <a:ea typeface=""/>
        <a:cs typeface=""/>
        <a:font script="Arab" typeface="Arial"/>
        <a:font script="Armn" typeface="Arial"/>
        <a:font script="Beng" typeface="Vrinda"/>
        <a:font script="Bopo" typeface="Microsoft JhengHei"/>
        <a:font script="Cher" typeface="Plantagenet Cherokee"/>
        <a:font script="Deva" typeface="Mangal"/>
        <a:font script="Ethi" typeface="Nyala"/>
        <a:font script="Geor" typeface="Sylfaen"/>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Mymr" typeface="Myanmar Text"/>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Osma" typeface="Ebrima"/>
        <a:font script="Tale" typeface="Microsoft Tai Le"/>
        <a:font script="Bugi" typeface="Leelawadee UI"/>
        <a:font script="Talu" typeface="Microsoft New Tai Lue"/>
        <a:font script="Tfng" typeface="Ebrima"/>
        <a:font script="Hans" typeface="等线"/>
        <a:font script="Hant" typeface="新細明體"/>
        <a:font script="Java" typeface="Javanese Text"/>
        <a:font script="Nkoo" typeface="Ebrima"/>
        <a:font script="Phag" typeface="Phagspa"/>
        <a:font script="Syre" typeface="Estrangelo Edessa"/>
        <a:font script="Syrj" typeface="Estrangelo Edessa"/>
        <a:font script="Syrn" typeface="Estrangelo Edessa"/>
        <a:font script="Jpan" typeface="游明朝"/>
        <a:font script="Olck" typeface="Nirmala UI"/>
        <a:font script="Lisu" typeface="Segoe UI"/>
        <a:font script="Sora" typeface="Nirmala UI"/>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7298</Words>
  <Characters>4160</Characters>
  <Application>Microsoft Office Word</Application>
  <DocSecurity>0</DocSecurity>
  <Lines>34</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ingars.ivanovs</dc:creator>
  <cp:lastModifiedBy>Ingars Ivanovs</cp:lastModifiedBy>
</cp:coreProperties>
</file>