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Nr.13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 xml:space="preserve">laika zīmoga datums </w:t>
      </w:r>
    </w:p>
    <w:p w14:paraId="0000000E">
      <w:pPr>
        <w:ind w:left="0" w:hanging="2"/>
        <w:jc w:val="both"/>
        <w:rPr>
          <w:sz w:val="23"/>
          <w:szCs w:val="23"/>
        </w:rPr>
      </w:pPr>
    </w:p>
    <w:p w14:paraId="0000000F">
      <w:pPr>
        <w:ind w:left="0" w:hanging="2"/>
        <w:jc w:val="both"/>
        <w:rPr>
          <w:rStyle w:val="Noklusējumarindkopasfonts1"/>
          <w:sz w:val="23"/>
          <w:szCs w:val="23"/>
        </w:rPr>
      </w:pPr>
      <w:r>
        <w:rPr>
          <w:b/>
          <w:color w:val="000000"/>
        </w:rPr>
        <w:t>Sabiedrība ar ierobežotu atbildību “Latvijas Nacionālais sporta centrs”</w:t>
      </w:r>
      <w:r>
        <w:rPr>
          <w:color w:val="000000"/>
        </w:rPr>
        <w:t xml:space="preserve"> </w:t>
      </w:r>
      <w:r>
        <w:rPr>
          <w:color w:val="000000"/>
          <w:sz w:val="23"/>
          <w:szCs w:val="23"/>
        </w:rPr>
        <w:t xml:space="preserve">(turpmāk – Sabiedrība), </w:t>
      </w:r>
      <w:r>
        <w:rPr>
          <w:rStyle w:val="Noklusējumarindkopasfonts1"/>
          <w:color w:val="000000"/>
          <w:sz w:val="23"/>
          <w:szCs w:val="23"/>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3"/>
          <w:szCs w:val="23"/>
        </w:rPr>
        <w:t>, un</w:t>
      </w:r>
    </w:p>
    <w:p w14:paraId="00000010">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Nr.13, kas atrodas Augšielā 1, Daugavas ledus hallē, Rīgā, ar  platību 59,3 m</w:t>
      </w:r>
      <w:r>
        <w:rPr>
          <w:sz w:val="23"/>
          <w:szCs w:val="23"/>
          <w:vertAlign w:val="superscript"/>
        </w:rPr>
        <w:t>2</w:t>
      </w:r>
      <w:r>
        <w:rPr>
          <w:color w:val="000000"/>
          <w:sz w:val="23"/>
          <w:szCs w:val="23"/>
        </w:rPr>
        <w:t xml:space="preserve"> (piecdesmit deviņi komats trīs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w:t>
      </w:r>
      <w:r>
        <w:rPr>
          <w:sz w:val="23"/>
          <w:szCs w:val="23"/>
        </w:rPr>
        <w:t xml:space="preserve">. gada __. __________, un ir noslēgts uz noteiktu laiku 3 (trīs) gadi līdz </w:t>
      </w:r>
      <w:r>
        <w:rPr>
          <w:b/>
          <w:sz w:val="23"/>
          <w:szCs w:val="23"/>
        </w:rPr>
        <w:t>2028</w:t>
      </w:r>
      <w:r>
        <w:rPr>
          <w:b/>
          <w:sz w:val="23"/>
          <w:szCs w:val="23"/>
        </w:rPr>
        <w:t>.gada __.________________</w:t>
      </w:r>
      <w:r>
        <w:rPr>
          <w:sz w:val="23"/>
          <w:szCs w:val="23"/>
        </w:rPr>
        <w:t>.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 xml:space="preserve">Ja NOMNIEKS vēlas pagarināt Līguma termiņu, tas 30 (trīsdesmit) kalendārās dienas pirms Līguma </w:t>
      </w:r>
      <w:r>
        <w:rPr>
          <w:sz w:val="23"/>
          <w:szCs w:val="23"/>
        </w:rPr>
        <w:t>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 xml:space="preserve">NOMNIEKS ļaunprātīgi nepilda Līguma nosacījumus un dod </w:t>
      </w:r>
      <w:r>
        <w:rPr>
          <w:sz w:val="23"/>
          <w:szCs w:val="23"/>
        </w:rPr>
        <w:t>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Papildus nomas maksai NOMNIEKS maksā par komunālajiem pakalpojumiem (apkure, elektroenerģija, ūdensapgāde, </w:t>
      </w:r>
      <w:r>
        <w:rPr>
          <w:color w:val="000000"/>
          <w:sz w:val="23"/>
          <w:szCs w:val="23"/>
        </w:rPr>
        <w:t>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1">
      <w:pPr>
        <w:numPr>
          <w:ilvl w:val="1"/>
          <w:numId w:val="5"/>
        </w:numPr>
        <w:ind w:left="0" w:hanging="2"/>
        <w:jc w:val="both"/>
        <w:rPr>
          <w:sz w:val="23"/>
          <w:szCs w:val="23"/>
        </w:rPr>
      </w:pPr>
      <w:r>
        <w:rPr>
          <w:sz w:val="23"/>
          <w:szCs w:val="23"/>
        </w:rPr>
        <w:t>IZNOMĀTĀJAM ir pienākums:</w:t>
      </w:r>
    </w:p>
    <w:p w14:paraId="00000042">
      <w:pPr>
        <w:numPr>
          <w:ilvl w:val="2"/>
          <w:numId w:val="8"/>
        </w:numPr>
        <w:ind w:left="0" w:hanging="2"/>
        <w:jc w:val="both"/>
        <w:rPr>
          <w:sz w:val="23"/>
          <w:szCs w:val="23"/>
        </w:rPr>
      </w:pPr>
      <w:r>
        <w:rPr>
          <w:sz w:val="23"/>
          <w:szCs w:val="23"/>
        </w:rPr>
        <w:t>nodot NOMNIEKAM lietošanā Nomas objektu saskaņā ar Līguma noteikumiem;</w:t>
      </w:r>
    </w:p>
    <w:p w14:paraId="000000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pPr>
        <w:ind w:left="0" w:hanging="2"/>
        <w:jc w:val="both"/>
        <w:rPr>
          <w:sz w:val="23"/>
          <w:szCs w:val="23"/>
        </w:rPr>
      </w:pPr>
    </w:p>
    <w:p w14:paraId="00000048">
      <w:pPr>
        <w:numPr>
          <w:ilvl w:val="0"/>
          <w:numId w:val="5"/>
        </w:numPr>
        <w:ind w:left="0" w:hanging="2"/>
        <w:jc w:val="center"/>
        <w:rPr>
          <w:sz w:val="23"/>
          <w:szCs w:val="23"/>
        </w:rPr>
      </w:pPr>
      <w:r>
        <w:rPr>
          <w:b/>
          <w:sz w:val="23"/>
          <w:szCs w:val="23"/>
        </w:rPr>
        <w:t>NOMNIEKA TIESĪBAS UN PIENĀKUMI</w:t>
      </w:r>
    </w:p>
    <w:p w14:paraId="00000049">
      <w:pPr>
        <w:numPr>
          <w:ilvl w:val="1"/>
          <w:numId w:val="2"/>
        </w:numPr>
        <w:ind w:left="0" w:hanging="2"/>
        <w:jc w:val="both"/>
        <w:rPr>
          <w:sz w:val="23"/>
          <w:szCs w:val="23"/>
        </w:rPr>
      </w:pPr>
      <w:r>
        <w:rPr>
          <w:sz w:val="23"/>
          <w:szCs w:val="23"/>
        </w:rPr>
        <w:t>NOMNIEKAM ir tiesības:</w:t>
      </w:r>
    </w:p>
    <w:p w14:paraId="0000004A">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pPr>
        <w:numPr>
          <w:ilvl w:val="2"/>
          <w:numId w:val="11"/>
        </w:numPr>
        <w:ind w:left="0" w:hanging="2"/>
        <w:jc w:val="both"/>
        <w:rPr>
          <w:sz w:val="23"/>
          <w:szCs w:val="23"/>
        </w:rPr>
      </w:pPr>
      <w:r>
        <w:rPr>
          <w:sz w:val="23"/>
          <w:szCs w:val="23"/>
        </w:rPr>
        <w:t xml:space="preserve">saņemot iepriekšēju IZNOMĀTĀJA rakstisku piekrišanu un, ja nepieciešams, saskaņojot ar atbildīgajām valsts un/vai pašvaldības iestādēm, uzstādīt konstrukcijas, papildinājumus, zīmes, </w:t>
      </w:r>
      <w:r>
        <w:rPr>
          <w:sz w:val="23"/>
          <w:szCs w:val="23"/>
        </w:rPr>
        <w:t>veikt labojumus Nomas objektā;</w:t>
      </w:r>
    </w:p>
    <w:p w14:paraId="0000004C">
      <w:pPr>
        <w:numPr>
          <w:ilvl w:val="1"/>
          <w:numId w:val="2"/>
        </w:numPr>
        <w:ind w:left="0" w:hanging="2"/>
        <w:jc w:val="both"/>
        <w:rPr>
          <w:sz w:val="23"/>
          <w:szCs w:val="23"/>
        </w:rPr>
      </w:pPr>
      <w:r>
        <w:rPr>
          <w:sz w:val="23"/>
          <w:szCs w:val="23"/>
        </w:rPr>
        <w:t xml:space="preserve"> NOMNIEKS nav tiesīgs:</w:t>
      </w:r>
    </w:p>
    <w:p w14:paraId="0000004D">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pPr>
        <w:numPr>
          <w:ilvl w:val="1"/>
          <w:numId w:val="2"/>
        </w:numPr>
        <w:ind w:left="0" w:hanging="2"/>
        <w:jc w:val="both"/>
        <w:rPr>
          <w:sz w:val="23"/>
          <w:szCs w:val="23"/>
        </w:rPr>
      </w:pPr>
      <w:r>
        <w:rPr>
          <w:sz w:val="23"/>
          <w:szCs w:val="23"/>
        </w:rPr>
        <w:t>NOMNIEKAM ir pienākums:</w:t>
      </w:r>
    </w:p>
    <w:p w14:paraId="00000050">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C">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pPr>
        <w:ind w:left="0" w:hanging="2"/>
        <w:jc w:val="both"/>
        <w:rPr>
          <w:sz w:val="23"/>
          <w:szCs w:val="23"/>
        </w:rPr>
      </w:pPr>
    </w:p>
    <w:p w14:paraId="0000005F">
      <w:pPr>
        <w:numPr>
          <w:ilvl w:val="0"/>
          <w:numId w:val="2"/>
        </w:numPr>
        <w:ind w:left="0" w:hanging="2"/>
        <w:jc w:val="center"/>
        <w:rPr>
          <w:sz w:val="23"/>
          <w:szCs w:val="23"/>
        </w:rPr>
      </w:pPr>
      <w:r>
        <w:rPr>
          <w:b/>
          <w:sz w:val="23"/>
          <w:szCs w:val="23"/>
        </w:rPr>
        <w:t>PUŠU ATBILDĪBA</w:t>
      </w:r>
    </w:p>
    <w:p w14:paraId="00000060">
      <w:pPr>
        <w:numPr>
          <w:ilvl w:val="1"/>
          <w:numId w:val="2"/>
        </w:numPr>
        <w:ind w:left="0" w:hanging="2"/>
        <w:jc w:val="both"/>
        <w:rPr>
          <w:sz w:val="23"/>
          <w:szCs w:val="23"/>
        </w:rPr>
      </w:pPr>
      <w:r>
        <w:rPr>
          <w:sz w:val="23"/>
          <w:szCs w:val="23"/>
        </w:rPr>
        <w:t xml:space="preserve">Puse atbild otrai Pusei par visiem zaudējumiem, ko tā ir nodarījusi otrai Pusei ar Līguma </w:t>
      </w:r>
      <w:r>
        <w:rPr>
          <w:sz w:val="23"/>
          <w:szCs w:val="23"/>
        </w:rPr>
        <w:t>neizpildi vai nepienācīgu izpildi.</w:t>
      </w:r>
    </w:p>
    <w:p w14:paraId="00000061">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pPr>
        <w:numPr>
          <w:ilvl w:val="1"/>
          <w:numId w:val="2"/>
        </w:numPr>
        <w:ind w:left="0" w:hanging="2"/>
        <w:jc w:val="both"/>
        <w:rPr>
          <w:sz w:val="23"/>
          <w:szCs w:val="23"/>
        </w:rPr>
      </w:pPr>
      <w:r>
        <w:rPr>
          <w:sz w:val="23"/>
          <w:szCs w:val="23"/>
        </w:rPr>
        <w:t>NOMNIEKS ir atbildīgs par ugunsdrošību Nomas objektā.</w:t>
      </w:r>
    </w:p>
    <w:p w14:paraId="00000065">
      <w:pPr>
        <w:spacing w:line="240" w:lineRule="auto"/>
        <w:ind w:left="0" w:hanging="2"/>
        <w:rPr>
          <w:sz w:val="23"/>
          <w:szCs w:val="23"/>
        </w:rPr>
      </w:pPr>
    </w:p>
    <w:p w14:paraId="00000066">
      <w:pPr>
        <w:numPr>
          <w:ilvl w:val="0"/>
          <w:numId w:val="2"/>
        </w:numPr>
        <w:ind w:left="0" w:hanging="2"/>
        <w:jc w:val="center"/>
        <w:rPr>
          <w:sz w:val="23"/>
          <w:szCs w:val="23"/>
        </w:rPr>
      </w:pPr>
      <w:r>
        <w:rPr>
          <w:b/>
          <w:sz w:val="23"/>
          <w:szCs w:val="23"/>
        </w:rPr>
        <w:t>NEPĀRVARAMA VARA</w:t>
      </w:r>
    </w:p>
    <w:p w14:paraId="00000067">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w:t>
      </w:r>
      <w:r>
        <w:rPr>
          <w:sz w:val="23"/>
          <w:szCs w:val="23"/>
        </w:rPr>
        <w:t>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pPr>
        <w:ind w:left="0" w:hanging="2"/>
        <w:rPr>
          <w:sz w:val="23"/>
          <w:szCs w:val="23"/>
        </w:rPr>
      </w:pPr>
    </w:p>
    <w:p w14:paraId="0000006B">
      <w:pPr>
        <w:numPr>
          <w:ilvl w:val="0"/>
          <w:numId w:val="2"/>
        </w:numPr>
        <w:ind w:left="0" w:hanging="2"/>
        <w:jc w:val="center"/>
        <w:rPr>
          <w:sz w:val="23"/>
          <w:szCs w:val="23"/>
        </w:rPr>
      </w:pPr>
      <w:r>
        <w:rPr>
          <w:b/>
          <w:sz w:val="23"/>
          <w:szCs w:val="23"/>
        </w:rPr>
        <w:t>CITI NOTEIKUMI</w:t>
      </w:r>
    </w:p>
    <w:p w14:paraId="0000006C">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D">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E">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F">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pPr>
        <w:numPr>
          <w:ilvl w:val="1"/>
          <w:numId w:val="7"/>
        </w:numPr>
        <w:tabs>
          <w:tab w:val="left" w:pos="567"/>
        </w:tabs>
        <w:ind w:left="0" w:hanging="2"/>
        <w:jc w:val="both"/>
        <w:rPr>
          <w:sz w:val="23"/>
          <w:szCs w:val="23"/>
        </w:rPr>
      </w:pPr>
      <w:r>
        <w:rPr>
          <w:sz w:val="23"/>
          <w:szCs w:val="23"/>
        </w:rPr>
        <w:t xml:space="preserve">Tās Pušu attiecības, kuras nav atrunātas Līguma tekstā, tiek </w:t>
      </w:r>
      <w:r>
        <w:rPr>
          <w:sz w:val="23"/>
          <w:szCs w:val="23"/>
        </w:rPr>
        <w:t>regulētas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pPr>
        <w:ind w:left="0" w:hanging="2"/>
        <w:rPr>
          <w:sz w:val="23"/>
          <w:szCs w:val="23"/>
        </w:rPr>
      </w:pPr>
    </w:p>
    <w:p w14:paraId="00000076">
      <w:pPr>
        <w:numPr>
          <w:ilvl w:val="0"/>
          <w:numId w:val="7"/>
        </w:numPr>
        <w:ind w:left="0" w:hanging="2"/>
        <w:jc w:val="center"/>
        <w:rPr>
          <w:sz w:val="23"/>
          <w:szCs w:val="23"/>
        </w:rPr>
      </w:pPr>
      <w:r>
        <w:rPr>
          <w:b/>
          <w:sz w:val="23"/>
          <w:szCs w:val="23"/>
        </w:rPr>
        <w:t>PUŠU PARAKSTI UN REKVIZĪTI</w:t>
      </w:r>
    </w:p>
    <w:p w14:paraId="00000077">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reģ. Nr.LV50003140671, konts LV40 UNLA 0050 0092 8700 8, AS “SEB banka”, bankas kods: UNLALV2X.</w:t>
      </w:r>
    </w:p>
    <w:p w14:paraId="00000078">
      <w:pPr>
        <w:numPr>
          <w:ilvl w:val="1"/>
          <w:numId w:val="9"/>
        </w:numPr>
        <w:ind w:left="0" w:hanging="2"/>
        <w:jc w:val="both"/>
        <w:rPr>
          <w:sz w:val="23"/>
          <w:szCs w:val="23"/>
        </w:rPr>
      </w:pPr>
      <w:r>
        <w:rPr>
          <w:sz w:val="23"/>
          <w:szCs w:val="23"/>
        </w:rPr>
        <w:t xml:space="preserve">NOMNIEKS: _____________________. </w:t>
      </w:r>
    </w:p>
    <w:p w14:paraId="00000079">
      <w:pPr>
        <w:ind w:left="0" w:firstLine="0"/>
        <w:jc w:val="both"/>
        <w:rPr>
          <w:sz w:val="23"/>
          <w:szCs w:val="23"/>
        </w:rPr>
      </w:pP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E">
      <w:pPr>
        <w:ind w:left="0" w:hanging="2"/>
        <w:jc w:val="both"/>
        <w:rPr>
          <w:sz w:val="23"/>
          <w:szCs w:val="23"/>
        </w:rPr>
      </w:pPr>
    </w:p>
    <w:p w14:paraId="0000007F">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0">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1">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2">
      <w:pPr>
        <w:tabs>
          <w:tab w:val="left" w:pos="5105"/>
        </w:tabs>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center"/>
        <w:rPr>
          <w:b/>
          <w:sz w:val="23"/>
          <w:szCs w:val="23"/>
        </w:rPr>
      </w:pPr>
    </w:p>
    <w:p w14:paraId="00000088">
      <w:pPr>
        <w:ind w:left="0" w:hanging="2"/>
        <w:rPr>
          <w:rFonts w:ascii="Arial" w:cs="Arial" w:eastAsia="Arial" w:hAnsi="Arial"/>
          <w:color w:val="222222"/>
          <w:sz w:val="22"/>
          <w:szCs w:val="22"/>
          <w:highlight w:val="white"/>
        </w:rPr>
      </w:pPr>
    </w:p>
    <w:p w14:paraId="00000089">
      <w:pPr>
        <w:ind w:left="0" w:hanging="2"/>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pStyle w:val="ListParagraph"/>
        <w:numPr>
          <w:ilvl w:val="0"/>
          <w:numId w:val="14"/>
        </w:numPr>
        <w:rPr/>
      </w:pPr>
      <w:r>
        <w:t>Pielikums Telpu grupas telpu plāns</w:t>
      </w:r>
    </w:p>
    <w:p w14:paraId="000000AE">
      <w:pPr>
        <w:ind w:left="0" w:firstLine="0"/>
        <w:rPr/>
      </w:pPr>
    </w:p>
    <w:p w14:paraId="000000AF">
      <w:pPr>
        <w:ind w:left="0" w:firstLine="0"/>
        <w:rPr/>
      </w:pPr>
      <w:r>
        <w:rPr/>
        <w:drawing xmlns:mc="http://schemas.openxmlformats.org/markup-compatibility/2006">
          <wp:inline distT="0" distB="0" distL="0" distR="0">
            <wp:extent cx="5009515" cy="3437890"/>
            <wp:effectExtent l="0" t="0" r="0" b="0"/>
            <wp:docPr id="815656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56518" name="Picture 1"/>
                    <pic:cNvPicPr>
                      <a:picLocks noChangeAspect="1" noChangeArrowheads="1"/>
                    </pic:cNvPicPr>
                  </pic:nvPicPr>
                  <pic:blipFill>
                    <a:blip r:embed="rId13"/>
                    <a:srcRect/>
                    <a:stretch>
                      <a:fillRect/>
                    </a:stretch>
                  </pic:blipFill>
                  <pic:spPr>
                    <a:xfrm>
                      <a:off x="0" y="0"/>
                      <a:ext cx="5009515" cy="3437890"/>
                    </a:xfrm>
                    <a:prstGeom prst="rect">
                      <a:avLst/>
                    </a:prstGeom>
                    <a:noFill/>
                  </pic:spPr>
                </pic:pic>
              </a:graphicData>
            </a:graphic>
          </wp:inline>
        </w:drawing>
      </w:r>
    </w:p>
    <w:sectPr>
      <w:headerReference w:type="default" r:id="rId14"/>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0">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1">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0"/>
  </w:num>
  <w:num w:numId="2">
    <w:abstractNumId w:val="6"/>
  </w:num>
  <w:num w:numId="3">
    <w:abstractNumId w:val="1"/>
  </w:num>
  <w:num w:numId="4">
    <w:abstractNumId w:val="4"/>
  </w:num>
  <w:num w:numId="5">
    <w:abstractNumId w:val="9"/>
  </w:num>
  <w:num w:numId="6">
    <w:abstractNumId w:val="10"/>
  </w:num>
  <w:num w:numId="7">
    <w:abstractNumId w:val="11"/>
  </w:num>
  <w:num w:numId="8">
    <w:abstractNumId w:val="2"/>
  </w:num>
  <w:num w:numId="9">
    <w:abstractNumId w:val="13"/>
  </w:num>
  <w:num w:numId="10">
    <w:abstractNumId w:val="7"/>
  </w:num>
  <w:num w:numId="11">
    <w:abstractNumId w:val="1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8E7254"/>
    <w:rsid w:val="00B54ED9"/>
    <w:rsid w:val="00BA5393"/>
    <w:rsid w:val="00BC4013"/>
    <w:rsid w:val="00D20BF4"/>
    <w:rsid w:val="00D24F6B"/>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image" Target="media/image2.png"/><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10699</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