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7">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8">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w:t>
      </w:r>
      <w:r>
        <w:rPr>
          <w:rFonts w:ascii="Times New Roman" w:hAnsi="Times New Roman"/>
          <w:color w:val="000000"/>
        </w:rPr>
        <w:t xml:space="preserve"> sporta centrs</w:t>
      </w:r>
      <w:r>
        <w:rPr>
          <w:rFonts w:ascii="Times New Roman" w:cs="Times New Roman" w:eastAsia="Times New Roman" w:hAnsi="Times New Roman"/>
          <w:color w:val="000000"/>
        </w:rPr>
        <w:t>”</w:t>
      </w:r>
    </w:p>
    <w:p w14:paraId="00000009">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un inventāra iznomāšanas komisijas</w:t>
      </w:r>
    </w:p>
    <w:p w14:paraId="0000000A">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2025.gada 11.</w:t>
      </w:r>
      <w:r>
        <w:rPr>
          <w:rFonts w:ascii="Times New Roman" w:cs="Times New Roman" w:eastAsia="Times New Roman" w:hAnsi="Times New Roman"/>
          <w:sz w:val="20"/>
          <w:szCs w:val="20"/>
        </w:rPr>
        <w:t xml:space="preserve"> jūnija sēdē</w:t>
      </w:r>
    </w:p>
    <w:p w14:paraId="0000000B">
      <w:pPr>
        <w:spacing w:after="0"/>
        <w:jc w:val="right"/>
        <w:rPr>
          <w:rFonts w:ascii="Times New Roman" w:hAnsi="Times New Roman"/>
          <w:sz w:val="20"/>
          <w:shd w:val="clear" w:color="auto" w:fill="efefef"/>
        </w:rPr>
      </w:pPr>
      <w:r>
        <w:rPr>
          <w:rFonts w:ascii="Times New Roman" w:cs="Times New Roman" w:eastAsia="Times New Roman" w:hAnsi="Times New Roman"/>
          <w:sz w:val="20"/>
          <w:szCs w:val="20"/>
        </w:rPr>
        <w:t>Protokols Nr.1-17.1/34</w:t>
      </w:r>
    </w:p>
    <w:p w14:paraId="0000000C">
      <w:pPr>
        <w:spacing w:after="0"/>
        <w:jc w:val="right"/>
        <w:rPr>
          <w:rFonts w:ascii="Times New Roman" w:cs="Times New Roman" w:eastAsia="Times New Roman" w:hAnsi="Times New Roman"/>
        </w:rPr>
      </w:pPr>
    </w:p>
    <w:p w14:paraId="0000000D">
      <w:pPr>
        <w:spacing w:after="0"/>
        <w:jc w:val="right"/>
        <w:rPr>
          <w:rFonts w:ascii="Times New Roman" w:cs="Times New Roman" w:eastAsia="Times New Roman" w:hAnsi="Times New Roman"/>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telpu grupas Nr. 004-2 noma, kas </w:t>
      </w:r>
      <w:r>
        <w:rPr>
          <w:rFonts w:ascii="Times New Roman" w:cs="Times New Roman" w:eastAsia="Times New Roman" w:hAnsi="Times New Roman"/>
        </w:rPr>
        <w:t>atrodas Krišjāņa Barona ielā 99c, Rīgā</w:t>
      </w:r>
    </w:p>
    <w:p w14:paraId="00000010">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336,1 m</w:t>
      </w:r>
      <w:r>
        <w:rPr>
          <w:rFonts w:ascii="Times New Roman" w:cs="Times New Roman" w:eastAsia="Times New Roman" w:hAnsi="Times New Roman"/>
          <w:sz w:val="23"/>
          <w:szCs w:val="23"/>
          <w:vertAlign w:val="superscript"/>
        </w:rPr>
        <w:t>2</w:t>
      </w:r>
    </w:p>
    <w:p w14:paraId="00000011">
      <w:pPr>
        <w:spacing w:after="0"/>
        <w:jc w:val="center"/>
        <w:rPr>
          <w:rFonts w:ascii="Times New Roman" w:hAnsi="Times New Roman"/>
          <w:shd w:val="clear" w:color="auto" w:fill="efefef"/>
        </w:rPr>
      </w:pPr>
      <w:r>
        <w:rPr>
          <w:rFonts w:ascii="Times New Roman" w:cs="Times New Roman" w:eastAsia="Times New Roman" w:hAnsi="Times New Roman"/>
        </w:rPr>
        <w:t>Izsoles identifikācijas Nr. 1-17.2/49</w:t>
      </w:r>
    </w:p>
    <w:p w14:paraId="00000012">
      <w:pPr>
        <w:spacing w:after="0"/>
        <w:jc w:val="center"/>
        <w:rPr>
          <w:rFonts w:ascii="Times New Roman" w:cs="Times New Roman" w:eastAsia="Times New Roman" w:hAnsi="Times New Roman"/>
        </w:rPr>
      </w:pPr>
    </w:p>
    <w:p w14:paraId="00000013">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w:t>
      </w:r>
      <w:r>
        <w:rPr>
          <w:rFonts w:ascii="Times New Roman" w:cs="Times New Roman" w:eastAsia="Times New Roman" w:hAnsi="Times New Roman"/>
          <w:color w:val="000000"/>
        </w:rPr>
        <w:t>reģistrācijas Nr.50003140671, juridiskā adrese: Augšiela 1, Rīga, LV-1009.</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hAnsi="Times New Roman"/>
          <w:color w:val="000000"/>
        </w:rPr>
        <w:t xml:space="preserve"> </w:t>
      </w:r>
      <w:r>
        <w:rPr>
          <w:rFonts w:ascii="Times New Roman" w:cs="Times New Roman" w:eastAsia="Times New Roman" w:hAnsi="Times New Roman"/>
          <w:color w:val="000000"/>
        </w:rPr>
        <w:t xml:space="preserve">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hAnsi="Times New Roman"/>
        </w:rPr>
        <w:t xml:space="preserve">(turpmāk – Nolikums) ir sagatavots saskaņā ar Sabiedrības </w:t>
      </w:r>
      <w:r>
        <w:rPr>
          <w:rFonts w:ascii="Times New Roman" w:cs="Times New Roman" w:eastAsia="Times New Roman" w:hAnsi="Times New Roman"/>
        </w:rPr>
        <w:t>2020</w:t>
      </w:r>
      <w:r>
        <w:rPr>
          <w:rFonts w:ascii="Times New Roman" w:hAnsi="Times New Roman"/>
        </w:rPr>
        <w:t>.gada 28.</w:t>
      </w:r>
      <w:r>
        <w:rPr>
          <w:rFonts w:ascii="Times New Roman" w:cs="Times New Roman" w:eastAsia="Times New Roman" w:hAnsi="Times New Roman"/>
        </w:rPr>
        <w:t>oktobra</w:t>
      </w:r>
      <w:r>
        <w:rPr>
          <w:rFonts w:ascii="Times New Roman" w:hAnsi="Times New Roman"/>
        </w:rPr>
        <w:t xml:space="preserve"> iekšējiem noteikumiem </w:t>
      </w:r>
      <w:r>
        <w:rPr>
          <w:rFonts w:ascii="Times New Roman" w:cs="Times New Roman" w:eastAsia="Times New Roman" w:hAnsi="Times New Roman"/>
        </w:rPr>
        <w:t>“Nekustamā</w:t>
      </w:r>
      <w:r>
        <w:rPr>
          <w:rFonts w:ascii="Times New Roman" w:hAnsi="Times New Roman"/>
        </w:rPr>
        <w:t xml:space="preserve"> īpašuma iznomāšanas un nomāšanas kārtība”, kā arī ievērojot Publiskas personas finanšu līdzekļu un mantas izšķērdēšanas novēršanas likumu.</w:t>
      </w:r>
    </w:p>
    <w:p w14:paraId="0000001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ar augšupejošu soli.</w:t>
      </w:r>
    </w:p>
    <w:p w14:paraId="0000001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highlight w:val="none"/>
        </w:rPr>
      </w:pPr>
      <w:r>
        <w:rPr>
          <w:rFonts w:ascii="Times New Roman" w:cs="Times New Roman" w:eastAsia="Times New Roman" w:hAnsi="Times New Roman"/>
          <w:b/>
          <w:color w:val="000000"/>
          <w:highlight w:val="none"/>
        </w:rPr>
        <w:t>Izsoles identifikācijas Nr.: 1-17.2/49</w:t>
      </w:r>
    </w:p>
    <w:p w14:paraId="00000019">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A">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B">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C">
      <w:pPr>
        <w:pBdr>
          <w:top w:val="nil" w:sz="4" w:space="0"/>
          <w:left w:val="nil" w:sz="4" w:space="0"/>
          <w:bottom w:val="nil" w:sz="4" w:space="0"/>
          <w:right w:val="nil" w:sz="4" w:space="0"/>
          <w:between w:val="nil" w:sz="4" w:space="0"/>
        </w:pBdr>
        <w:spacing w:after="0"/>
        <w:ind w:left="426" w:hanging="426"/>
        <w:jc w:val="both"/>
        <w:rPr>
          <w:rFonts w:ascii="Times" w:cs="Times" w:eastAsia="Times" w:hAnsi="Times"/>
          <w:b/>
          <w:color w:val="000000"/>
        </w:rPr>
      </w:pPr>
      <w:r>
        <w:rPr>
          <w:rFonts w:ascii="Times New Roman" w:cs="Times New Roman" w:eastAsia="Times New Roman" w:hAnsi="Times New Roman"/>
          <w:b/>
          <w:color w:val="000000"/>
        </w:rPr>
        <w:t xml:space="preserve">2.1. Izsoles objekts: </w:t>
      </w:r>
      <w:r>
        <w:rPr>
          <w:rFonts w:ascii="Times New Roman" w:cs="Times New Roman" w:eastAsia="Times New Roman" w:hAnsi="Times New Roman"/>
          <w:color w:val="000000"/>
        </w:rPr>
        <w:t xml:space="preserve">nomas tiesības uz nedzīvojamo telpu grupu, kas atrodas </w:t>
      </w:r>
      <w:r>
        <w:rPr>
          <w:rFonts w:ascii="Times New Roman" w:cs="Times New Roman" w:eastAsia="Times New Roman" w:hAnsi="Times New Roman"/>
        </w:rPr>
        <w:t>Krišjāņa Barona ielā 99c</w:t>
      </w:r>
      <w:r>
        <w:rPr>
          <w:rFonts w:ascii="Times New Roman" w:cs="Times New Roman" w:eastAsia="Times New Roman" w:hAnsi="Times New Roman"/>
          <w:color w:val="000000"/>
        </w:rPr>
        <w:t>, Rīgā (būves  kadastra apzīmējums 01000270024013), sastāv no telpām:</w:t>
      </w:r>
    </w:p>
    <w:p w14:paraId="0000001D">
      <w:pPr>
        <w:numPr>
          <w:ilvl w:val="2"/>
          <w:numId w:val="8"/>
        </w:numPr>
        <w:pBdr>
          <w:top w:val="nil" w:sz="4" w:space="0"/>
          <w:left w:val="nil" w:sz="4" w:space="0"/>
          <w:bottom w:val="nil" w:sz="4" w:space="0"/>
          <w:right w:val="nil" w:sz="4" w:space="0"/>
          <w:between w:val="nil" w:sz="4" w:space="0"/>
        </w:pBdr>
        <w:spacing w:after="0"/>
        <w:jc w:val="both"/>
        <w:rPr>
          <w:rFonts w:ascii="Times New Roman" w:cs="Times New Roman" w:eastAsia="Times" w:hAnsi="Times New Roman"/>
          <w:b/>
          <w:color w:val="000000"/>
          <w:highlight w:val="none"/>
        </w:rPr>
      </w:pPr>
      <w:bookmarkStart w:id="2" w:name="_heading=h.30j0zll"/>
      <w:bookmarkEnd w:id="2"/>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Palīgtelpa</w:t>
      </w:r>
      <w:r>
        <w:rPr>
          <w:rFonts w:ascii="Times New Roman" w:cs="Times New Roman" w:eastAsia="Times" w:hAnsi="Times New Roman"/>
          <w:b/>
          <w:color w:val="000000"/>
          <w:highlight w:val="none"/>
        </w:rPr>
        <w:t xml:space="preserve"> </w:t>
      </w:r>
      <w:r>
        <w:rPr>
          <w:rFonts w:ascii="Times New Roman" w:cs="Times New Roman" w:eastAsia="Times New Roman" w:hAnsi="Times New Roman"/>
          <w:b/>
          <w:color w:val="000000"/>
          <w:highlight w:val="none"/>
        </w:rPr>
        <w:t>(</w:t>
      </w:r>
      <w:r>
        <w:rPr>
          <w:rFonts w:ascii="Times New Roman" w:cs="Times New Roman" w:hAnsi="Times New Roman"/>
          <w:b/>
          <w:color w:val="000000"/>
          <w:highlight w:val="none"/>
        </w:rPr>
        <w:t xml:space="preserve">telpa </w:t>
      </w:r>
      <w:r>
        <w:rPr>
          <w:rFonts w:ascii="Times New Roman" w:cs="Times New Roman" w:eastAsia="Times New Roman" w:hAnsi="Times New Roman"/>
          <w:b/>
          <w:color w:val="000000"/>
          <w:highlight w:val="none"/>
        </w:rPr>
        <w:t xml:space="preserve">Nr. </w:t>
      </w:r>
      <w:r>
        <w:rPr>
          <w:rFonts w:ascii="Times New Roman" w:cs="Times New Roman" w:eastAsia="Times New Roman" w:hAnsi="Times New Roman"/>
          <w:b/>
          <w:highlight w:val="none"/>
        </w:rPr>
        <w:t>004-2</w:t>
      </w:r>
      <w:r>
        <w:rPr>
          <w:rFonts w:ascii="Times New Roman" w:cs="Times New Roman" w:eastAsia="Times New Roman" w:hAnsi="Times New Roman"/>
          <w:b/>
          <w:color w:val="000000"/>
          <w:highlight w:val="none"/>
        </w:rPr>
        <w:t>) – 336,1</w:t>
      </w:r>
      <w:r>
        <w:rPr>
          <w:rFonts w:ascii="Times New Roman" w:cs="Times New Roman" w:eastAsia="Times New Roman" w:hAnsi="Times New Roman"/>
          <w:b/>
          <w:color w:val="000000"/>
          <w:highlight w:val="none"/>
        </w:rPr>
        <w:t xml:space="preserve"> m</w:t>
      </w:r>
      <w:r>
        <w:rPr>
          <w:rFonts w:ascii="Times New Roman" w:cs="Times New Roman" w:eastAsia="Times New Roman" w:hAnsi="Times New Roman"/>
          <w:b/>
          <w:color w:val="000000"/>
          <w:highlight w:val="none"/>
          <w:vertAlign w:val="superscript"/>
        </w:rPr>
        <w:t>2</w:t>
      </w:r>
      <w:r>
        <w:rPr>
          <w:rFonts w:ascii="Times New Roman" w:cs="Times New Roman" w:eastAsia="Times" w:hAnsi="Times New Roman"/>
          <w:b/>
          <w:color w:val="000000"/>
          <w:highlight w:val="none"/>
        </w:rPr>
        <w:t>;</w:t>
      </w:r>
    </w:p>
    <w:p w14:paraId="0000001E">
      <w:pPr>
        <w:spacing w:after="0"/>
        <w:ind w:left="720"/>
        <w:jc w:val="both"/>
        <w:rPr>
          <w:rFonts w:ascii="Times" w:cs="Times" w:eastAsia="Times" w:hAnsi="Times"/>
          <w:b/>
          <w:highlight w:val="none"/>
        </w:rPr>
      </w:pPr>
      <w:bookmarkStart w:id="3" w:name="_heading=h.gl5tfo58fztq"/>
      <w:bookmarkEnd w:id="3"/>
      <w:r>
        <w:rPr>
          <w:rFonts w:ascii="Times New Roman" w:cs="Times New Roman" w:eastAsia="Times New Roman" w:hAnsi="Times New Roman"/>
          <w:b/>
          <w:highlight w:val="none"/>
        </w:rPr>
        <w:t>K</w:t>
      </w:r>
      <w:r>
        <w:rPr>
          <w:rFonts w:ascii="Times New Roman" w:cs="Times New Roman" w:eastAsia="Times New Roman" w:hAnsi="Times New Roman"/>
          <w:b/>
          <w:highlight w:val="none"/>
        </w:rPr>
        <w:t>opējā nomājamā platība ir:</w:t>
      </w:r>
      <w:r>
        <w:rPr>
          <w:rFonts w:ascii="Times New Roman" w:hAnsi="Times New Roman"/>
          <w:b/>
          <w:highlight w:val="none"/>
        </w:rPr>
        <w:t xml:space="preserve"> 336,1 m</w:t>
      </w:r>
      <w:r>
        <w:rPr>
          <w:rFonts w:ascii="Times New Roman" w:hAnsi="Times New Roman"/>
          <w:b/>
          <w:highlight w:val="none"/>
          <w:vertAlign w:val="superscript"/>
        </w:rPr>
        <w:t>2</w:t>
      </w:r>
      <w:r>
        <w:rPr>
          <w:rFonts w:ascii="Times New Roman" w:cs="Times New Roman" w:eastAsia="Times New Roman" w:hAnsi="Times New Roman"/>
          <w:highlight w:val="none"/>
        </w:rPr>
        <w:t xml:space="preserve"> (turpmāk – Telpas).</w:t>
      </w:r>
      <w:r>
        <w:rPr>
          <w:rFonts w:ascii="Times New Roman" w:cs="Times New Roman" w:eastAsia="Times New Roman" w:hAnsi="Times New Roman"/>
        </w:rPr>
        <w:t xml:space="preserve"> </w:t>
      </w:r>
    </w:p>
    <w:p w14:paraId="0000001F">
      <w:pPr>
        <w:pStyle w:val="ListParagraph"/>
        <w:numPr>
          <w:ilvl w:val="1"/>
          <w:numId w:val="12"/>
        </w:numPr>
        <w:pBdr>
          <w:top w:val="nil" w:sz="4" w:space="0"/>
          <w:left w:val="nil" w:sz="4" w:space="0"/>
          <w:bottom w:val="nil" w:sz="4" w:space="0"/>
          <w:right w:val="nil" w:sz="4" w:space="0"/>
          <w:between w:val="nil" w:sz="4" w:space="0"/>
        </w:pBdr>
        <w:shd w:val="clear" w:color="auto" w:fill="ffffff"/>
        <w:spacing w:after="0"/>
        <w:jc w:val="both"/>
        <w:rPr>
          <w:rFonts w:ascii="Times New Roman" w:cs="Times New Roman" w:eastAsia="Times New Roman" w:hAnsi="Times New Roman"/>
          <w:b/>
          <w:i/>
          <w:color w:val="000000"/>
        </w:rPr>
      </w:pPr>
      <w:r>
        <w:rPr>
          <w:rFonts w:ascii="Times New Roman" w:cs="Times New Roman" w:eastAsia="Times New Roman" w:hAnsi="Times New Roman"/>
          <w:b/>
          <w:color w:val="000000"/>
          <w:highlight w:val="none"/>
        </w:rPr>
        <w:t>Telpu lietošanas mērķis:</w:t>
      </w:r>
      <w:r>
        <w:rPr>
          <w:rFonts w:ascii="Times New Roman" w:cs="Times New Roman" w:eastAsia="Times New Roman" w:hAnsi="Times New Roman"/>
          <w:b/>
          <w:highlight w:val="none"/>
        </w:rPr>
        <w:t xml:space="preserve"> Sporta nodarbību telpas, telpas sporta un/vai kultūras pasākumu norisei/organizēšanai, sporta medicīnas pakalpojumi</w:t>
      </w:r>
      <w:r>
        <w:rPr>
          <w:rFonts w:ascii="Times New Roman" w:cs="Times New Roman" w:eastAsia="Times New Roman" w:hAnsi="Times New Roman"/>
          <w:bCs/>
        </w:rPr>
        <w:t xml:space="preserve"> </w:t>
      </w:r>
      <w:r>
        <w:rPr>
          <w:rFonts w:ascii="Times New Roman" w:cs="Times New Roman" w:eastAsia="Times New Roman" w:hAnsi="Times New Roman"/>
          <w:b/>
          <w:bCs/>
        </w:rPr>
        <w:t>Komandu sporta spēļu halles darba laikā.</w:t>
      </w:r>
    </w:p>
    <w:p w14:paraId="00000020">
      <w:pPr>
        <w:pStyle w:val="ListParagraph"/>
        <w:numPr>
          <w:ilvl w:val="1"/>
          <w:numId w:val="12"/>
        </w:numPr>
        <w:pBdr>
          <w:top w:val="nil" w:sz="4" w:space="0"/>
          <w:left w:val="nil" w:sz="4" w:space="0"/>
          <w:bottom w:val="nil" w:sz="4" w:space="0"/>
          <w:right w:val="nil" w:sz="4" w:space="0"/>
          <w:between w:val="nil" w:sz="4" w:space="0"/>
        </w:pBdr>
        <w:shd w:val="clear" w:color="auto" w:fill="ffffff"/>
        <w:spacing w:after="0"/>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Prasības pretendentiem:</w:t>
      </w:r>
    </w:p>
    <w:p w14:paraId="00000021">
      <w:pPr>
        <w:pStyle w:val="ListParagraph"/>
        <w:numPr>
          <w:ilvl w:val="2"/>
          <w:numId w:val="12"/>
        </w:numPr>
        <w:pBdr>
          <w:top w:val="nil" w:sz="4" w:space="0"/>
          <w:left w:val="nil" w:sz="4" w:space="0"/>
          <w:bottom w:val="nil" w:sz="4" w:space="0"/>
          <w:right w:val="nil" w:sz="4" w:space="0"/>
          <w:between w:val="nil" w:sz="4" w:space="0"/>
        </w:pBdr>
        <w:shd w:val="clear" w:color="auto" w:fill="ffffff"/>
        <w:spacing w:after="0"/>
        <w:ind w:hanging="11"/>
        <w:jc w:val="both"/>
        <w:rPr>
          <w:rFonts w:ascii="Times New Roman" w:cs="Times New Roman" w:eastAsia="Times New Roman" w:hAnsi="Times New Roman"/>
          <w:b w:val="off"/>
          <w:bCs w:val="off"/>
          <w:i w:val="off"/>
          <w:iCs w:val="off"/>
          <w:color w:val="000000"/>
          <w:highlight w:val="none"/>
        </w:rPr>
      </w:pPr>
      <w:r>
        <w:rPr>
          <w:rFonts w:ascii="Times New Roman" w:cs="Times New Roman" w:eastAsia="Times New Roman" w:hAnsi="Times New Roman"/>
          <w:b w:val="off"/>
          <w:bCs w:val="off"/>
          <w:i w:val="off"/>
          <w:iCs w:val="off"/>
          <w:color w:val="000000"/>
          <w:highlight w:val="none"/>
        </w:rPr>
        <w:t>Pretendents veic vai plāno veikt saimniecisko darbību sporta, kultūras vai sporta medicīnas nozarē.</w:t>
      </w:r>
    </w:p>
    <w:p w14:paraId="00000022">
      <w:pPr>
        <w:pStyle w:val="ListParagraph"/>
        <w:numPr>
          <w:ilvl w:val="2"/>
          <w:numId w:val="12"/>
        </w:numPr>
        <w:pBdr>
          <w:top w:val="nil" w:sz="4" w:space="0"/>
          <w:left w:val="nil" w:sz="4" w:space="0"/>
          <w:bottom w:val="nil" w:sz="4" w:space="0"/>
          <w:right w:val="nil" w:sz="4" w:space="0"/>
          <w:between w:val="nil" w:sz="4" w:space="0"/>
        </w:pBdr>
        <w:shd w:val="clear" w:color="auto" w:fill="ffffff"/>
        <w:spacing w:after="0"/>
        <w:ind w:hanging="11"/>
        <w:jc w:val="both"/>
        <w:rPr>
          <w:rFonts w:ascii="Times New Roman" w:cs="Times New Roman" w:eastAsia="Times New Roman" w:hAnsi="Times New Roman"/>
          <w:b w:val="off"/>
          <w:bCs w:val="off"/>
          <w:i w:val="off"/>
          <w:iCs w:val="off"/>
          <w:color w:val="000000"/>
          <w:highlight w:val="none"/>
        </w:rPr>
      </w:pPr>
      <w:r>
        <w:rPr>
          <w:rFonts w:ascii="Times New Roman" w:cs="Times New Roman" w:eastAsia="Times New Roman" w:hAnsi="Times New Roman"/>
          <w:b w:val="off"/>
          <w:bCs w:val="off"/>
          <w:i w:val="off"/>
          <w:iCs w:val="off"/>
          <w:color w:val="000000"/>
          <w:highlight w:val="none"/>
        </w:rPr>
        <w:t>Vismaz 2 (divu) gadu pieredze sporta nodarbību vai sporta pasākumu, vai kultūras pasākumu organizēšanā, vai sporta medicīnas pakalpojumu nodrošināšanā.</w:t>
      </w:r>
    </w:p>
    <w:p w14:paraId="00000023">
      <w:pPr>
        <w:pStyle w:val="ListParagraph"/>
        <w:numPr>
          <w:ilvl w:val="2"/>
          <w:numId w:val="12"/>
        </w:numPr>
        <w:pBdr>
          <w:top w:val="nil" w:sz="4" w:space="0"/>
          <w:left w:val="nil" w:sz="4" w:space="0"/>
          <w:bottom w:val="nil" w:sz="4" w:space="0"/>
          <w:right w:val="nil" w:sz="4" w:space="0"/>
          <w:between w:val="nil" w:sz="4" w:space="0"/>
        </w:pBdr>
        <w:shd w:val="clear" w:color="auto" w:fill="ffffff"/>
        <w:spacing w:after="0"/>
        <w:ind w:hanging="11"/>
        <w:jc w:val="both"/>
        <w:rPr>
          <w:rFonts w:ascii="Times New Roman" w:cs="Times New Roman" w:eastAsia="Times New Roman" w:hAnsi="Times New Roman"/>
          <w:b w:val="off"/>
          <w:bCs w:val="off"/>
          <w:i w:val="off"/>
          <w:iCs w:val="off"/>
          <w:color w:val="000000"/>
        </w:rPr>
      </w:pPr>
      <w:r>
        <w:rPr>
          <w:rFonts w:ascii="Times New Roman" w:cs="Times New Roman" w:eastAsia="Times New Roman" w:hAnsi="Times New Roman"/>
          <w:b w:val="off"/>
          <w:bCs w:val="off"/>
          <w:i w:val="off"/>
          <w:iCs w:val="off"/>
          <w:color w:val="000000"/>
        </w:rPr>
        <w:t>Pēdējā finanšu gada apgrozījumam jābūt vismaz 50 000,00 (piecdesmit tūkstoši eiro un 00 centi).</w:t>
      </w:r>
    </w:p>
    <w:p w14:paraId="00000024">
      <w:pPr>
        <w:pStyle w:val="ListParagraph"/>
        <w:numPr>
          <w:ilvl w:val="2"/>
          <w:numId w:val="12"/>
        </w:numPr>
        <w:pBdr>
          <w:top w:val="nil" w:sz="4" w:space="0"/>
          <w:left w:val="nil" w:sz="4" w:space="0"/>
          <w:bottom w:val="nil" w:sz="4" w:space="0"/>
          <w:right w:val="nil" w:sz="4" w:space="0"/>
          <w:between w:val="nil" w:sz="4" w:space="0"/>
        </w:pBdr>
        <w:shd w:val="clear" w:color="auto" w:fill="ffffff"/>
        <w:spacing w:after="0"/>
        <w:ind w:hanging="11"/>
        <w:jc w:val="both"/>
        <w:rPr>
          <w:rFonts w:ascii="Times New Roman" w:cs="Times New Roman" w:eastAsia="Times New Roman" w:hAnsi="Times New Roman"/>
          <w:b w:val="off"/>
          <w:bCs w:val="off"/>
          <w:i w:val="off"/>
          <w:iCs w:val="off"/>
          <w:color w:val="000000"/>
        </w:rPr>
      </w:pPr>
      <w:r>
        <w:rPr>
          <w:rFonts w:ascii="Times New Roman" w:cs="Times New Roman" w:eastAsia="Times New Roman" w:hAnsi="Times New Roman"/>
          <w:b w:val="off"/>
          <w:bCs w:val="off"/>
          <w:i w:val="off"/>
          <w:iCs w:val="off"/>
          <w:color w:val="000000"/>
        </w:rPr>
        <w:t>Vismaz 1 (viena) esoša sporta nodarbību vai sporta pasākumu, vai kultūras pasākumu organizēšanas, vai sporta medicīnas pakalpojumu sniegšanas vieta Latvijā.</w:t>
      </w:r>
    </w:p>
    <w:p w14:paraId="00000025">
      <w:pPr>
        <w:pStyle w:val="ListParagraph"/>
        <w:numPr>
          <w:ilvl w:val="1"/>
          <w:numId w:val="1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i/>
          <w:color w:val="000000"/>
        </w:rPr>
      </w:pPr>
      <w:r>
        <w:rPr>
          <w:rFonts w:ascii="Times New Roman" w:cs="Times New Roman" w:eastAsia="Times New Roman" w:hAnsi="Times New Roman"/>
          <w:b/>
        </w:rPr>
        <w:t>Telpu grupas nomas maksas i</w:t>
      </w:r>
      <w:r>
        <w:rPr>
          <w:rFonts w:ascii="Times New Roman" w:cs="Times New Roman" w:eastAsia="Times New Roman" w:hAnsi="Times New Roman"/>
          <w:b/>
          <w:color w:val="000000"/>
        </w:rPr>
        <w:t>zsoles sākumcena: EUR 1680,50</w:t>
      </w:r>
      <w:r>
        <w:rPr>
          <w:rFonts w:ascii="Times New Roman" w:cs="Times New Roman" w:eastAsia="Times New Roman" w:hAnsi="Times New Roman"/>
          <w:b/>
          <w:color w:val="000000"/>
          <w:highlight w:val="none"/>
        </w:rPr>
        <w:t xml:space="preserve"> </w:t>
      </w:r>
      <w:r>
        <w:rPr>
          <w:rFonts w:ascii="Times New Roman" w:cs="Times New Roman" w:eastAsia="Times New Roman" w:hAnsi="Times New Roman"/>
          <w:color w:val="000000"/>
          <w:highlight w:val="none"/>
        </w:rPr>
        <w:t>(viens tūkstotis seši simti astoņdesmit</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50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26">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150,00</w:t>
      </w:r>
      <w:r>
        <w:rPr>
          <w:rFonts w:ascii="Times New Roman" w:cs="Times New Roman" w:eastAsia="Times New Roman" w:hAnsi="Times New Roman"/>
          <w:color w:val="000000"/>
          <w:highlight w:val="none"/>
        </w:rPr>
        <w:t xml:space="preserve"> (viens simts piecdesmit</w:t>
      </w:r>
      <w:r>
        <w:rPr>
          <w:rFonts w:ascii="Times New Roman" w:cs="Times New Roman" w:eastAsia="Times New Roman" w:hAnsi="Times New Roman"/>
          <w:color w:val="000000"/>
          <w:highlight w:val="none"/>
        </w:rPr>
        <w:t xml:space="preserve"> eiro un 00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grupu</w:t>
      </w:r>
      <w:r>
        <w:rPr>
          <w:rFonts w:ascii="Times New Roman" w:cs="Times New Roman" w:eastAsia="Times New Roman" w:hAnsi="Times New Roman"/>
          <w:color w:val="000000"/>
        </w:rPr>
        <w:t xml:space="preserve"> mēnesī.</w:t>
      </w:r>
    </w:p>
    <w:p w14:paraId="00000027">
      <w:pPr>
        <w:pStyle w:val="ListParagraph"/>
        <w:numPr>
          <w:ilvl w:val="1"/>
          <w:numId w:val="1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rPr>
        <w:t>5 (pieci</w:t>
      </w:r>
      <w:r>
        <w:rPr>
          <w:rFonts w:ascii="Times New Roman" w:cs="Times New Roman" w:eastAsia="Times New Roman" w:hAnsi="Times New Roman"/>
          <w:color w:val="000000"/>
        </w:rPr>
        <w:t>) gadi.</w:t>
      </w:r>
    </w:p>
    <w:p w14:paraId="00000028">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Telpas tiek </w:t>
      </w:r>
      <w:r>
        <w:rPr>
          <w:rFonts w:ascii="Times New Roman" w:cs="Times New Roman" w:eastAsia="Times New Roman" w:hAnsi="Times New Roman"/>
          <w:b/>
          <w:color w:val="000000"/>
        </w:rPr>
        <w:t>nodotas nomā bez apdares, bez aprīkojuma, iekārtām, mēbelēm un citiem elementiem. Nomniekam nepieciešamie ieguldījumi</w:t>
      </w:r>
      <w:r>
        <w:rPr>
          <w:rFonts w:ascii="Times New Roman" w:cs="Times New Roman" w:eastAsia="Times New Roman" w:hAnsi="Times New Roman"/>
          <w:color w:val="000000"/>
        </w:rPr>
        <w:t xml:space="preserve"> jāveic Nomniekam pašam, pēc saviem ieskatiem, Telpu izbūvi, pielāgošanu un labiekārtošanu savas saimnieciskās darbības vajadzībām, iepriekš rakstveidā saskaņojot investīciju plānu, visus projektēšanas darbus (būvniecības ieceres dokumentāciju) un būvdarbus un to izpildes termiņus ar Sabiedrību un kompetentajām institūcijām un saskaņā Latvijas Republikā spēkā esošajiem normatīvajiem aktiem.</w:t>
      </w:r>
    </w:p>
    <w:p w14:paraId="00000029">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Sabiedrība atsevišķu pasākumu norises nodrošināšanai var noteikt ierobežojumus piekļūšanai Telpām un darbībai. Par ierobežojuma laiku un noteikumiem Telpu nomnieks tiek savlaicīgi informēts. Šajā gadījumā nomas maksa netiek aprēķināta par laika periodu, kad nomniekam ir liegta iespēja lietot Telpas.</w:t>
      </w:r>
    </w:p>
    <w:p w14:paraId="0000002A">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color w:val="000000"/>
        </w:rPr>
        <w:t xml:space="preserve">No nomas līguma noslēgšanas </w:t>
      </w:r>
      <w:r>
        <w:rPr>
          <w:rFonts w:ascii="Times New Roman" w:cs="Times New Roman" w:eastAsia="Times New Roman" w:hAnsi="Times New Roman"/>
          <w:color w:val="000000"/>
        </w:rPr>
        <w:t xml:space="preserve">un Telpu pieņemšanas – nodošanas akta parakstīšanas </w:t>
      </w:r>
      <w:r>
        <w:rPr>
          <w:rFonts w:ascii="Times New Roman" w:cs="Times New Roman" w:eastAsia="Times New Roman" w:hAnsi="Times New Roman"/>
          <w:color w:val="000000"/>
        </w:rPr>
        <w:t>brīža papildus Telpu nomas maksai nomnieks maksā apsaimniekošanas maksu, maksu par  komunālajiem un citiem pakalpojumiem (piemēram, sakaru pakalpojumiem), ja Sabiedrība šādus pakalpojumus nodrošina.</w:t>
      </w:r>
    </w:p>
    <w:p w14:paraId="0000002B">
      <w:pPr>
        <w:numPr>
          <w:ilvl w:val="1"/>
          <w:numId w:val="12"/>
        </w:numPr>
        <w:pBdr>
          <w:top w:val="nil" w:sz="4" w:space="0"/>
          <w:left w:val="nil" w:sz="4" w:space="0"/>
          <w:bottom w:val="nil" w:sz="4" w:space="0"/>
          <w:right w:val="nil" w:sz="4" w:space="0"/>
          <w:between w:val="nil" w:sz="4" w:space="0"/>
        </w:pBdr>
        <w:spacing w:after="0"/>
        <w:ind w:left="546" w:hanging="546"/>
        <w:jc w:val="both"/>
        <w:rPr>
          <w:rFonts w:ascii="Times New Roman" w:cs="Times New Roman" w:eastAsia="Times New Roman" w:hAnsi="Times New Roman"/>
          <w:color w:val="000000"/>
          <w:highlight w:val="none"/>
          <w:u w:val="single"/>
        </w:rPr>
      </w:pPr>
      <w:r>
        <w:rPr>
          <w:rFonts w:ascii="Times New Roman" w:cs="Times New Roman" w:eastAsia="Times New Roman" w:hAnsi="Times New Roman"/>
          <w:color w:val="000000"/>
          <w:highlight w:val="none"/>
          <w:u w:val="single"/>
        </w:rPr>
        <w:t xml:space="preserve">Nomnieks nomas maksu maksā, sākot ar otro mēnesi pēc līguma </w:t>
      </w:r>
      <w:r>
        <w:rPr>
          <w:rFonts w:ascii="Times New Roman" w:cs="Times New Roman" w:eastAsia="Times New Roman" w:hAnsi="Times New Roman"/>
          <w:color w:val="000000"/>
          <w:highlight w:val="none"/>
          <w:u w:val="single"/>
        </w:rPr>
        <w:t xml:space="preserve">un Telpu pieņemšanas – nodošanas akta </w:t>
      </w:r>
      <w:r>
        <w:rPr>
          <w:rFonts w:ascii="Times New Roman" w:cs="Times New Roman" w:eastAsia="Times New Roman" w:hAnsi="Times New Roman"/>
          <w:color w:val="000000"/>
          <w:highlight w:val="none"/>
          <w:u w:val="single"/>
        </w:rPr>
        <w:t>abpusējas parakstīšanas dienas, vai ātrāk, ja nomnieks Telpas aprīkojis un uzsācis to ekspluatāciju ātrāk par sesto mēnesi no līguma un Telpu pieņemšanas - nodošanas akta abpusējas parakstīšanas dienas.</w:t>
      </w:r>
    </w:p>
    <w:p w14:paraId="0000002C">
      <w:pPr>
        <w:numPr>
          <w:ilvl w:val="1"/>
          <w:numId w:val="12"/>
        </w:numPr>
        <w:pBdr>
          <w:top w:val="nil" w:sz="4" w:space="0"/>
          <w:left w:val="nil" w:sz="4" w:space="0"/>
          <w:bottom w:val="nil" w:sz="4" w:space="0"/>
          <w:right w:val="nil" w:sz="4" w:space="0"/>
          <w:between w:val="nil" w:sz="4" w:space="0"/>
        </w:pBdr>
        <w:spacing w:after="0"/>
        <w:ind w:left="561" w:hanging="561"/>
        <w:jc w:val="both"/>
        <w:rPr>
          <w:rFonts w:ascii="Times New Roman" w:cs="Times New Roman" w:eastAsia="Times New Roman" w:hAnsi="Times New Roman"/>
          <w:color w:val="000000"/>
          <w:highlight w:val="none"/>
          <w:u w:val="single"/>
        </w:rPr>
      </w:pPr>
      <w:r>
        <w:rPr>
          <w:rFonts w:ascii="Times New Roman" w:cs="Times New Roman" w:eastAsia="Times New Roman" w:hAnsi="Times New Roman"/>
          <w:color w:val="000000"/>
          <w:highlight w:val="none"/>
          <w:u w:val="single"/>
        </w:rPr>
        <w:t>Sabiedrība nomas līguma izpildes laikā un pēc nomas līguma termiņa beigām neatlīdzina nekādus Nomnieka veiktos ieguldījumus Telpās neatkarīgi no to veida un apmēra.</w:t>
      </w:r>
    </w:p>
    <w:p w14:paraId="0000002D">
      <w:pPr>
        <w:numPr>
          <w:ilvl w:val="1"/>
          <w:numId w:val="12"/>
        </w:numPr>
        <w:pBdr>
          <w:top w:val="nil" w:sz="4" w:space="0"/>
          <w:left w:val="nil" w:sz="4" w:space="0"/>
          <w:bottom w:val="nil" w:sz="4" w:space="0"/>
          <w:right w:val="nil" w:sz="4" w:space="0"/>
          <w:between w:val="nil" w:sz="4" w:space="0"/>
        </w:pBdr>
        <w:spacing w:after="0"/>
        <w:ind w:left="561" w:hanging="546"/>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Telpas vai to daļu apakšnomā trešajām personām, bez iepriekšējas saskaņošanas rakstveidā ar Sabiedrību.</w:t>
      </w:r>
    </w:p>
    <w:p w14:paraId="0000002E">
      <w:pPr>
        <w:numPr>
          <w:ilvl w:val="1"/>
          <w:numId w:val="12"/>
        </w:numPr>
        <w:pBdr>
          <w:top w:val="nil" w:sz="4" w:space="0"/>
          <w:left w:val="nil" w:sz="4" w:space="0"/>
          <w:bottom w:val="nil" w:sz="4" w:space="0"/>
          <w:right w:val="nil" w:sz="4" w:space="0"/>
          <w:between w:val="nil" w:sz="4" w:space="0"/>
        </w:pBdr>
        <w:spacing w:after="0"/>
        <w:ind w:left="561" w:hanging="561"/>
        <w:jc w:val="both"/>
        <w:rPr>
          <w:rFonts w:ascii="Times New Roman" w:cs="Times New Roman" w:eastAsia="Times New Roman" w:hAnsi="Times New Roman"/>
          <w:i w:val="off"/>
          <w:iCs w:val="off"/>
          <w:color w:val="000000"/>
        </w:rPr>
      </w:pPr>
      <w:r>
        <w:rPr>
          <w:rFonts w:ascii="Times New Roman" w:cs="Times New Roman" w:eastAsia="Times New Roman" w:hAnsi="Times New Roman"/>
          <w:i w:val="off"/>
          <w:iCs w:val="off"/>
          <w:color w:val="000000"/>
        </w:rPr>
        <w:t>Nomnieks 10 (desmit) dienu laikā pēc Telpu nomas līguma noslēgšanas iesniedz Sabiedrībai Nomnieka vispārējās civiltiesiskās atbildības apdrošināšanas polisi ar atbildības limitu ne mazāku par 150 00,00 (viens simts piecdesmit tūkstoši eiro un 00 centi), Nomnieks nodrošina minētās polises nepārtrauktu spēkā esamību visā Līguma spēkā esamības laikā.</w:t>
      </w:r>
    </w:p>
    <w:p w14:paraId="0000002F">
      <w:pPr>
        <w:numPr>
          <w:ilvl w:val="1"/>
          <w:numId w:val="12"/>
        </w:numPr>
        <w:pBdr>
          <w:top w:val="nil" w:sz="4" w:space="0"/>
          <w:left w:val="nil" w:sz="4" w:space="0"/>
          <w:bottom w:val="nil" w:sz="4" w:space="0"/>
          <w:right w:val="nil" w:sz="4" w:space="0"/>
          <w:between w:val="nil" w:sz="4" w:space="0"/>
        </w:pBdr>
        <w:spacing w:after="0"/>
        <w:ind w:left="567" w:hanging="567"/>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objektu pretendents var apskatīt tā atrašanās vietā, apskates laiku (darba dienās) iepriekš saskaņojot ar </w:t>
      </w:r>
      <w:r>
        <w:rPr>
          <w:rFonts w:ascii="Times New Roman" w:cs="Times New Roman" w:eastAsia="Times New Roman" w:hAnsi="Times New Roman"/>
        </w:rPr>
        <w:t>Kārli 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"mailto:karlis.trankalis@lnsc.lv"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karlis.trankalis@lnsc.lv</w:t>
      </w:r>
      <w:r>
        <w:rPr>
          <w:rFonts w:ascii="Times New Roman" w:cs="Times New Roman" w:eastAsia="Times New Roman" w:hAnsi="Times New Roman"/>
        </w:rPr>
        <w:fldChar w:fldCharType="end"/>
      </w:r>
      <w:r>
        <w:rPr>
          <w:rFonts w:ascii="Times New Roman" w:cs="Times New Roman" w:eastAsia="Times New Roman" w:hAnsi="Times New Roman"/>
        </w:rPr>
        <w:t>.</w:t>
      </w:r>
    </w:p>
    <w:p w14:paraId="00000030">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31">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Informācija par izsoles </w:t>
      </w:r>
      <w:r>
        <w:rPr>
          <w:rFonts w:ascii="Times New Roman" w:cs="Times New Roman" w:eastAsia="Times New Roman" w:hAnsi="Times New Roman"/>
          <w:b/>
          <w:color w:val="000000"/>
        </w:rPr>
        <w:t>publicēšanu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4" w:name="_heading=h.1fob9te"/>
      <w:bookmarkEnd w:id="4"/>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 sadaļā “Iepirkumi un izsoles”.</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34">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5">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3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hAnsi="Times New Roman"/>
        </w:rPr>
        <w:t xml:space="preserve"> </w:t>
      </w:r>
      <w:r>
        <w:rPr>
          <w:rFonts w:ascii="Times New Roman" w:hAnsi="Times New Roman"/>
          <w:b/>
          <w:bCs/>
        </w:rPr>
        <w:t>01.07.</w:t>
      </w:r>
      <w:r>
        <w:rPr>
          <w:rFonts w:ascii="Times New Roman" w:hAnsi="Times New Roman"/>
          <w:b/>
          <w:bCs/>
          <w:highlight w:val="none"/>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Augšielā 1, Rīgā, piedāvājumu iesniedzot personīgi vai nosūtot pa pastu. Pasta sūtījumiem jābūt saņemtiem Sabiedrībā līdz</w:t>
      </w:r>
      <w:r>
        <w:rPr>
          <w:rFonts w:ascii="Times New Roman" w:hAnsi="Times New Roman"/>
        </w:rPr>
        <w:t xml:space="preserve"> </w:t>
      </w:r>
      <w:r>
        <w:rPr>
          <w:rFonts w:ascii="Times New Roman" w:hAnsi="Times New Roman"/>
          <w:b/>
          <w:bCs/>
        </w:rPr>
        <w:t>01.07.</w:t>
      </w:r>
      <w:r>
        <w:rPr>
          <w:rFonts w:ascii="Times New Roman" w:cs="Times New Roman" w:eastAsia="Times New Roman" w:hAnsi="Times New Roman"/>
          <w:b/>
          <w:bCs/>
          <w:highlight w:val="none"/>
        </w:rPr>
        <w:t>2025</w:t>
      </w:r>
      <w:r>
        <w:rPr>
          <w:rFonts w:ascii="Times New Roman" w:cs="Times New Roman" w:eastAsia="Times New Roman" w:hAnsi="Times New Roman"/>
          <w:b/>
          <w:bCs/>
          <w:color w:val="000000"/>
          <w:highlight w:val="none"/>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hAnsi="Times New Roman"/>
          <w:b/>
        </w:rPr>
        <w:t>.</w:t>
      </w:r>
      <w:r>
        <w:rPr>
          <w:rFonts w:ascii="Times New Roman" w:cs="Times New Roman" w:eastAsia="Times New Roman" w:hAnsi="Times New Roman"/>
          <w:color w:val="000000"/>
        </w:rPr>
        <w:t xml:space="preserve"> </w:t>
      </w:r>
    </w:p>
    <w:p w14:paraId="0000003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Pretendents piedāvājumu noformē, aizpildot </w:t>
      </w:r>
      <w:r>
        <w:rPr>
          <w:rFonts w:ascii="Times New Roman" w:cs="Times New Roman" w:eastAsia="Times New Roman" w:hAnsi="Times New Roman"/>
          <w:color w:val="000000"/>
        </w:rPr>
        <w:t>“Pieteikums izsolei” (Nolikuma 1.pielikums), kurā norāda:</w:t>
      </w:r>
    </w:p>
    <w:p w14:paraId="00000038">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39">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3A">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w:t>
      </w:r>
      <w:r>
        <w:rPr>
          <w:rFonts w:ascii="Times New Roman" w:cs="Times New Roman" w:eastAsia="Times New Roman" w:hAnsi="Times New Roman"/>
          <w:color w:val="000000"/>
        </w:rPr>
        <w:t>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3B">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3C">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3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E">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piedāvāto nomas maksas apmēru par vienu iznomājamās platības </w:t>
      </w:r>
      <w:r>
        <w:rPr>
          <w:rFonts w:ascii="Times New Roman" w:cs="Times New Roman" w:eastAsia="Times New Roman" w:hAnsi="Times New Roman"/>
          <w:color w:val="000000"/>
        </w:rPr>
        <w:t>kvadrātmetru mēnesī bez pievienotās vērtības nodokļa.</w:t>
      </w:r>
    </w:p>
    <w:p w14:paraId="0000003F">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pieteikumam pievieno informāciju un dokumentus, kas apliecina Pretendenta atbilstību Nolikuma 2.3. punkta prasībām.</w:t>
      </w:r>
    </w:p>
    <w:p w14:paraId="00000040">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4.3. Pretendents var iesniegt vienu piedāvājuma variantu.</w:t>
      </w:r>
    </w:p>
    <w:p w14:paraId="00000041">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4.4. Piedāvājumam jābūt spēkā vismaz 3 (trīs) mēnešus no piedāvājuma atvēršanas brīža.</w:t>
      </w:r>
    </w:p>
    <w:p w14:paraId="00000042">
      <w:pPr>
        <w:pStyle w:val="ListParagraph"/>
        <w:numPr>
          <w:ilvl w:val="1"/>
          <w:numId w:val="1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Dokumentiem jābūt skaidri salasāmiem. Ja </w:t>
      </w:r>
      <w:r>
        <w:rPr>
          <w:rFonts w:ascii="Times New Roman" w:cs="Times New Roman" w:eastAsia="Times New Roman" w:hAnsi="Times New Roman"/>
          <w:color w:val="000000"/>
        </w:rPr>
        <w:t>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43">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44">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45">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hAnsi="Times New Roman"/>
          <w:b/>
          <w:bCs/>
          <w:color w:val="000000"/>
        </w:rPr>
        <w:t xml:space="preserve"> </w:t>
      </w:r>
      <w:r>
        <w:rPr>
          <w:rFonts w:ascii="Times New Roman" w:cs="Times New Roman" w:eastAsia="Times New Roman" w:hAnsi="Times New Roman"/>
          <w:b/>
          <w:bCs/>
          <w:color w:val="000000"/>
        </w:rPr>
        <w:t>SIA</w:t>
      </w:r>
      <w:r>
        <w:rPr>
          <w:rFonts w:ascii="Times New Roman" w:cs="Times New Roman" w:eastAsia="Times New Roman" w:hAnsi="Times New Roman"/>
          <w:b/>
          <w:color w:val="000000"/>
        </w:rPr>
        <w:t xml:space="preserve"> „ Latvijas Nacionālais sporta centrs”, Augšiela 1, Rīga, LV-1009;</w:t>
      </w:r>
    </w:p>
    <w:p w14:paraId="00000046">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telpu grupas Nr. 004-2 noma, kas atrodas Krišjāņa Barona ielā 99c, Rīgā ar kopējo platību 336,1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1-17.2/49</w:t>
      </w:r>
      <w:r>
        <w:rPr>
          <w:rFonts w:ascii="Times New Roman" w:cs="Times New Roman" w:eastAsia="Times New Roman" w:hAnsi="Times New Roman"/>
          <w:b/>
          <w:color w:val="000000"/>
        </w:rPr>
        <w:t>”.</w:t>
      </w:r>
    </w:p>
    <w:p w14:paraId="00000047">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48">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49">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4A">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4B">
      <w:pPr>
        <w:numPr>
          <w:ilvl w:val="1"/>
          <w:numId w:val="13"/>
        </w:numPr>
        <w:pBdr>
          <w:top w:val="nil" w:sz="4" w:space="0"/>
          <w:left w:val="nil" w:sz="4" w:space="0"/>
          <w:bottom w:val="nil" w:sz="4" w:space="0"/>
          <w:right w:val="nil" w:sz="4" w:space="0"/>
          <w:between w:val="nil" w:sz="4" w:space="0"/>
        </w:pBdr>
        <w:spacing w:after="0"/>
        <w:ind w:left="567"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4C">
      <w:pPr>
        <w:numPr>
          <w:ilvl w:val="1"/>
          <w:numId w:val="13"/>
        </w:numPr>
        <w:pBdr>
          <w:top w:val="nil" w:sz="4" w:space="0"/>
          <w:left w:val="nil" w:sz="4" w:space="0"/>
          <w:bottom w:val="nil" w:sz="4" w:space="0"/>
          <w:right w:val="nil" w:sz="4" w:space="0"/>
          <w:between w:val="nil" w:sz="4" w:space="0"/>
        </w:pBdr>
        <w:spacing w:after="0"/>
        <w:ind w:left="567"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Ziņas par pretendentiem un to </w:t>
      </w:r>
      <w:r>
        <w:rPr>
          <w:rFonts w:ascii="Times New Roman" w:cs="Times New Roman" w:eastAsia="Times New Roman" w:hAnsi="Times New Roman"/>
          <w:color w:val="000000"/>
        </w:rPr>
        <w:t>skaitu netiek izpaustas līdz izsoles sākumam.</w:t>
      </w:r>
    </w:p>
    <w:p w14:paraId="0000004D">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4E">
      <w:pPr>
        <w:numPr>
          <w:ilvl w:val="0"/>
          <w:numId w:val="13"/>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F">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Rakstiska izsole (pretendentu piedāvājumu atvēršana) notiks </w:t>
      </w:r>
      <w:r>
        <w:rPr>
          <w:rFonts w:ascii="Times New Roman" w:cs="Times New Roman" w:eastAsia="Times New Roman" w:hAnsi="Times New Roman"/>
          <w:b/>
          <w:bCs/>
          <w:color w:val="000000"/>
        </w:rPr>
        <w:t>01.07.2025,</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hAnsi="Times New Roman"/>
          <w:b/>
        </w:rPr>
        <w:t>:00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50">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51">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52">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53">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54">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55">
      <w:pPr>
        <w:numPr>
          <w:ilvl w:val="1"/>
          <w:numId w:val="13"/>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56">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piedāvājums nav noformēts atbilstoši Nolikuma </w:t>
      </w:r>
      <w:r>
        <w:rPr>
          <w:rFonts w:ascii="Times New Roman" w:cs="Times New Roman" w:eastAsia="Times New Roman" w:hAnsi="Times New Roman"/>
          <w:color w:val="000000"/>
        </w:rPr>
        <w:t>4.2.punktam vai piedāvājumā iztrūkst pieprasītā informācija;</w:t>
      </w:r>
    </w:p>
    <w:p w14:paraId="0000005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5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5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5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5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5C">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5D">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5E">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turpina izsoli, pieņemot rakstiskus piedāvājumus no pretendentiem vai to pārstāvjiem, kas piedāvājuši vienādu augstāko nomas </w:t>
      </w:r>
      <w:r>
        <w:rPr>
          <w:rFonts w:ascii="Times New Roman" w:cs="Times New Roman" w:eastAsia="Times New Roman" w:hAnsi="Times New Roman"/>
          <w:color w:val="000000"/>
        </w:rPr>
        <w:t>maksu, ja tie piedalās piedāvājumu atvēršanā, un organizē tūlītēju piedāvājumu atvēršanu;</w:t>
      </w:r>
    </w:p>
    <w:p w14:paraId="0000005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60">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61">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62">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63">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64">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ja neviens no pretendentiem, kurš ieguvis tiesības slēgt nomas līgumu, </w:t>
      </w:r>
      <w:r>
        <w:rPr>
          <w:rFonts w:ascii="Times New Roman" w:cs="Times New Roman" w:eastAsia="Times New Roman" w:hAnsi="Times New Roman"/>
          <w:color w:val="000000"/>
        </w:rPr>
        <w:t>nenoslēdz to noteiktajā termiņā;</w:t>
      </w:r>
    </w:p>
    <w:p w14:paraId="00000065">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66">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67">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68">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69">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6A">
      <w:pPr>
        <w:spacing w:after="0"/>
        <w:jc w:val="both"/>
        <w:rPr>
          <w:rFonts w:ascii="Times New Roman" w:cs="Times New Roman" w:eastAsia="Times New Roman" w:hAnsi="Times New Roman"/>
          <w:b/>
          <w:i/>
        </w:rPr>
      </w:pPr>
    </w:p>
    <w:p w14:paraId="0000006B">
      <w:pPr>
        <w:numPr>
          <w:ilvl w:val="0"/>
          <w:numId w:val="13"/>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6C">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6D">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w:t>
      </w:r>
      <w:r>
        <w:rPr>
          <w:rFonts w:ascii="Times New Roman" w:cs="Times New Roman" w:eastAsia="Times New Roman" w:hAnsi="Times New Roman"/>
          <w:color w:val="000000"/>
        </w:rPr>
        <w:t>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6E">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F">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70">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 sadaļā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71">
      <w:pPr>
        <w:rPr>
          <w:rFonts w:ascii="Times New Roman" w:cs="Times New Roman" w:eastAsia="Times New Roman" w:hAnsi="Times New Roman"/>
          <w:color w:val="000000"/>
        </w:rPr>
      </w:pPr>
      <w:r>
        <w:rPr/>
        <w:br w:type="page"/>
      </w:r>
    </w:p>
    <w:p w14:paraId="00000072">
      <w:pPr>
        <w:numPr>
          <w:ilvl w:val="0"/>
          <w:numId w:val="13"/>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73">
      <w:pPr>
        <w:pBdr>
          <w:top w:val="nil" w:sz="4" w:space="0"/>
          <w:left w:val="nil" w:sz="4" w:space="0"/>
          <w:bottom w:val="nil" w:sz="4" w:space="0"/>
          <w:right w:val="nil" w:sz="4" w:space="0"/>
          <w:between w:val="nil" w:sz="4" w:space="0"/>
        </w:pBdr>
        <w:spacing w:after="0"/>
        <w:ind w:left="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74">
      <w:pPr>
        <w:pBdr>
          <w:top w:val="nil" w:sz="4" w:space="0"/>
          <w:left w:val="nil" w:sz="4" w:space="0"/>
          <w:bottom w:val="nil" w:sz="4" w:space="0"/>
          <w:right w:val="nil" w:sz="4" w:space="0"/>
          <w:between w:val="nil" w:sz="4" w:space="0"/>
        </w:pBdr>
        <w:spacing w:after="0"/>
        <w:ind w:left="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uz </w:t>
      </w:r>
      <w:r>
        <w:rPr>
          <w:rFonts w:ascii="Times New Roman" w:cs="Times New Roman" w:eastAsia="Times New Roman" w:hAnsi="Times New Roman"/>
        </w:rPr>
        <w:t>6</w:t>
      </w:r>
      <w:r>
        <w:rPr>
          <w:rFonts w:ascii="Times New Roman" w:cs="Times New Roman" w:eastAsia="Times New Roman" w:hAnsi="Times New Roman"/>
          <w:color w:val="000000"/>
        </w:rPr>
        <w:t xml:space="preserve"> lapām.</w:t>
      </w:r>
    </w:p>
    <w:p w14:paraId="00000075">
      <w:pPr>
        <w:pBdr>
          <w:top w:val="nil" w:sz="4" w:space="0"/>
          <w:left w:val="nil" w:sz="4" w:space="0"/>
          <w:bottom w:val="nil" w:sz="4" w:space="0"/>
          <w:right w:val="nil" w:sz="4" w:space="0"/>
          <w:between w:val="nil" w:sz="4" w:space="0"/>
        </w:pBdr>
        <w:spacing w:after="0"/>
        <w:ind w:left="426"/>
        <w:rPr>
          <w:rFonts w:ascii="Times New Roman" w:cs="Times New Roman" w:eastAsia="Times New Roman" w:hAnsi="Times New Roman"/>
          <w:color w:val="000000"/>
        </w:rPr>
      </w:pPr>
    </w:p>
    <w:p w14:paraId="00000076">
      <w:pPr>
        <w:pBdr>
          <w:top w:val="nil" w:sz="4" w:space="0"/>
          <w:left w:val="nil" w:sz="4" w:space="0"/>
          <w:bottom w:val="nil" w:sz="4" w:space="0"/>
          <w:right w:val="nil" w:sz="4" w:space="0"/>
          <w:between w:val="nil" w:sz="4" w:space="0"/>
        </w:pBdr>
        <w:spacing w:after="0"/>
        <w:ind w:left="426"/>
        <w:rPr>
          <w:rFonts w:ascii="Times New Roman" w:cs="Times New Roman" w:eastAsia="Times New Roman" w:hAnsi="Times New Roman"/>
          <w:color w:val="000000"/>
        </w:rPr>
      </w:pPr>
    </w:p>
    <w:p w14:paraId="00000077">
      <w:pPr>
        <w:spacing w:after="0"/>
        <w:jc w:val="both"/>
        <w:rPr>
          <w:rFonts w:ascii="Times New Roman" w:cs="Times New Roman" w:eastAsia="Times New Roman" w:hAnsi="Times New Roman"/>
          <w:b/>
          <w:i/>
        </w:rPr>
      </w:pPr>
    </w:p>
    <w:p w14:paraId="00000078">
      <w:pPr>
        <w:spacing w:after="0"/>
        <w:jc w:val="both"/>
        <w:rPr>
          <w:rFonts w:ascii="Times New Roman" w:cs="Times New Roman" w:eastAsia="Times New Roman" w:hAnsi="Times New Roman"/>
          <w:b/>
          <w:i/>
        </w:rPr>
      </w:pPr>
    </w:p>
    <w:p w14:paraId="00000079">
      <w:pPr>
        <w:spacing w:after="0"/>
        <w:jc w:val="both"/>
        <w:rPr>
          <w:rFonts w:ascii="Times New Roman" w:cs="Times New Roman" w:eastAsia="Times New Roman" w:hAnsi="Times New Roman"/>
          <w:b/>
          <w:i/>
        </w:rPr>
      </w:pPr>
    </w:p>
    <w:p w14:paraId="0000007A">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7B"/>
    <w:p w14:paraId="0000007C"/>
    <w:sectPr>
      <w:headerReference w:type="default" r:id="rId45"/>
      <w:footerReference w:type="default" r:id="rId46"/>
      <w:footerReference w:type="first" r:id="rId47"/>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 w:type="continuationNotice" w:id="2">
    <w:p w14:paraId="00000006">
      <w:pPr>
        <w:spacing w:after="0" w:line="240" w:lineRule="auto"/>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Segoe UI">
    <w:panose1 w:val="020b0502040204020203"/>
    <w:charset w:val="00"/>
    <w:family w:val="swiss"/>
    <w:pitch w:val="variable"/>
    <w:sig w:usb0="00000000" w:usb1="00000000"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F">
    <w:pPr>
      <w:pStyle w:val="Foo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0">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81">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type="continuationNotice" w:id="2">
    <w:p w14:paraId="00000003">
      <w:pPr>
        <w:spacing w:after="0" w:line="240" w:lineRule="aut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D">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7E">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4"/>
      <w:numFmt w:val="decimal"/>
      <w:lvlText w:val="%1."/>
      <w:lvlJc w:val="left"/>
      <w:pPr>
        <w:ind w:left="360" w:hanging="360"/>
      </w:pPr>
      <w:rPr>
        <w:rFonts w:hint="default"/>
        <w:b w:val="off"/>
        <w:i w:val="off"/>
      </w:rPr>
    </w:lvl>
    <w:lvl w:ilvl="1" w:tentative="0">
      <w:start w:val="5"/>
      <w:numFmt w:val="decimal"/>
      <w:lvlText w:val="%1.%2."/>
      <w:lvlJc w:val="left"/>
      <w:pPr>
        <w:ind w:left="786" w:hanging="360"/>
      </w:pPr>
      <w:rPr>
        <w:rFonts w:hint="default"/>
        <w:b w:val="off"/>
        <w:i w:val="off"/>
      </w:rPr>
    </w:lvl>
    <w:lvl w:ilvl="2" w:tentative="0">
      <w:start w:val="1"/>
      <w:numFmt w:val="decimal"/>
      <w:lvlText w:val="%1.%2.%3."/>
      <w:lvlJc w:val="left"/>
      <w:pPr>
        <w:ind w:left="1572" w:hanging="720"/>
      </w:pPr>
      <w:rPr>
        <w:rFonts w:hint="default"/>
        <w:b w:val="off"/>
        <w:i w:val="off"/>
      </w:rPr>
    </w:lvl>
    <w:lvl w:ilvl="3" w:tentative="0">
      <w:start w:val="1"/>
      <w:numFmt w:val="decimal"/>
      <w:lvlText w:val="%1.%2.%3.%4."/>
      <w:lvlJc w:val="left"/>
      <w:pPr>
        <w:ind w:left="1998" w:hanging="720"/>
      </w:pPr>
      <w:rPr>
        <w:rFonts w:hint="default"/>
        <w:b w:val="off"/>
        <w:i w:val="off"/>
      </w:rPr>
    </w:lvl>
    <w:lvl w:ilvl="4" w:tentative="0">
      <w:start w:val="1"/>
      <w:numFmt w:val="decimal"/>
      <w:lvlText w:val="%1.%2.%3.%4.%5."/>
      <w:lvlJc w:val="left"/>
      <w:pPr>
        <w:ind w:left="2784" w:hanging="1080"/>
      </w:pPr>
      <w:rPr>
        <w:rFonts w:hint="default"/>
        <w:b w:val="off"/>
        <w:i w:val="off"/>
      </w:rPr>
    </w:lvl>
    <w:lvl w:ilvl="5" w:tentative="0">
      <w:start w:val="1"/>
      <w:numFmt w:val="decimal"/>
      <w:lvlText w:val="%1.%2.%3.%4.%5.%6."/>
      <w:lvlJc w:val="left"/>
      <w:pPr>
        <w:ind w:left="3210" w:hanging="1080"/>
      </w:pPr>
      <w:rPr>
        <w:rFonts w:hint="default"/>
        <w:b w:val="off"/>
        <w:i w:val="off"/>
      </w:rPr>
    </w:lvl>
    <w:lvl w:ilvl="6" w:tentative="0">
      <w:start w:val="1"/>
      <w:numFmt w:val="decimal"/>
      <w:lvlText w:val="%1.%2.%3.%4.%5.%6.%7."/>
      <w:lvlJc w:val="left"/>
      <w:pPr>
        <w:ind w:left="3996" w:hanging="1440"/>
      </w:pPr>
      <w:rPr>
        <w:rFonts w:hint="default"/>
        <w:b w:val="off"/>
        <w:i w:val="off"/>
      </w:rPr>
    </w:lvl>
    <w:lvl w:ilvl="7" w:tentative="0">
      <w:start w:val="1"/>
      <w:numFmt w:val="decimal"/>
      <w:lvlText w:val="%1.%2.%3.%4.%5.%6.%7.%8."/>
      <w:lvlJc w:val="left"/>
      <w:pPr>
        <w:ind w:left="4422" w:hanging="1440"/>
      </w:pPr>
      <w:rPr>
        <w:rFonts w:hint="default"/>
        <w:b w:val="off"/>
        <w:i w:val="off"/>
      </w:rPr>
    </w:lvl>
    <w:lvl w:ilvl="8" w:tentative="0">
      <w:start w:val="1"/>
      <w:numFmt w:val="decimal"/>
      <w:lvlText w:val="%1.%2.%3.%4.%5.%6.%7.%8.%9."/>
      <w:lvlJc w:val="left"/>
      <w:pPr>
        <w:ind w:left="5208" w:hanging="1800"/>
      </w:pPr>
      <w:rPr>
        <w:rFonts w:hint="default"/>
        <w:b w:val="off"/>
        <w:i w:val="off"/>
      </w:r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multiLevelType w:val="multilevel"/>
    <w:lvl w:ilvl="0" w:tentative="0">
      <w:start w:val="2"/>
      <w:numFmt w:val="decimal"/>
      <w:lvlText w:val="%1."/>
      <w:lvlJc w:val="left"/>
      <w:pPr>
        <w:ind w:left="360" w:hanging="360"/>
      </w:pPr>
      <w:rPr>
        <w:rFonts w:hint="default"/>
        <w:i w:val="off"/>
      </w:rPr>
    </w:lvl>
    <w:lvl w:ilvl="1" w:tentative="0">
      <w:start w:val="2"/>
      <w:numFmt w:val="decimal"/>
      <w:lvlText w:val="%1.%2."/>
      <w:lvlJc w:val="left"/>
      <w:pPr>
        <w:ind w:left="360" w:hanging="360"/>
      </w:pPr>
      <w:rPr>
        <w:rFonts w:hint="default"/>
        <w:b w:val="off"/>
        <w:bCs/>
        <w:i w:val="off"/>
      </w:rPr>
    </w:lvl>
    <w:lvl w:ilvl="2" w:tentative="0">
      <w:start w:val="1"/>
      <w:numFmt w:val="decimal"/>
      <w:lvlText w:val="%1.%2.%3."/>
      <w:lvlJc w:val="left"/>
      <w:pPr>
        <w:ind w:left="720" w:hanging="720"/>
      </w:pPr>
      <w:rPr>
        <w:rFonts w:hint="default"/>
        <w:b w:val="off"/>
        <w:bCs/>
        <w:i w:val="off"/>
      </w:rPr>
    </w:lvl>
    <w:lvl w:ilvl="3" w:tentative="0">
      <w:start w:val="1"/>
      <w:numFmt w:val="decimal"/>
      <w:lvlText w:val="%1.%2.%3.%4."/>
      <w:lvlJc w:val="left"/>
      <w:pPr>
        <w:ind w:left="720" w:hanging="720"/>
      </w:pPr>
      <w:rPr>
        <w:rFonts w:hint="default"/>
        <w:i w:val="off"/>
      </w:rPr>
    </w:lvl>
    <w:lvl w:ilvl="4" w:tentative="0">
      <w:start w:val="1"/>
      <w:numFmt w:val="decimal"/>
      <w:lvlText w:val="%1.%2.%3.%4.%5."/>
      <w:lvlJc w:val="left"/>
      <w:pPr>
        <w:ind w:left="1080" w:hanging="1080"/>
      </w:pPr>
      <w:rPr>
        <w:rFonts w:hint="default"/>
        <w:i w:val="off"/>
      </w:rPr>
    </w:lvl>
    <w:lvl w:ilvl="5" w:tentative="0">
      <w:start w:val="1"/>
      <w:numFmt w:val="decimal"/>
      <w:lvlText w:val="%1.%2.%3.%4.%5.%6."/>
      <w:lvlJc w:val="left"/>
      <w:pPr>
        <w:ind w:left="1080" w:hanging="1080"/>
      </w:pPr>
      <w:rPr>
        <w:rFonts w:hint="default"/>
        <w:i w:val="off"/>
      </w:rPr>
    </w:lvl>
    <w:lvl w:ilvl="6" w:tentative="0">
      <w:start w:val="1"/>
      <w:numFmt w:val="decimal"/>
      <w:lvlText w:val="%1.%2.%3.%4.%5.%6.%7."/>
      <w:lvlJc w:val="left"/>
      <w:pPr>
        <w:ind w:left="1440" w:hanging="1440"/>
      </w:pPr>
      <w:rPr>
        <w:rFonts w:hint="default"/>
        <w:i w:val="off"/>
      </w:rPr>
    </w:lvl>
    <w:lvl w:ilvl="7" w:tentative="0">
      <w:start w:val="1"/>
      <w:numFmt w:val="decimal"/>
      <w:lvlText w:val="%1.%2.%3.%4.%5.%6.%7.%8."/>
      <w:lvlJc w:val="left"/>
      <w:pPr>
        <w:ind w:left="1440" w:hanging="1440"/>
      </w:pPr>
      <w:rPr>
        <w:rFonts w:hint="default"/>
        <w:i w:val="off"/>
      </w:rPr>
    </w:lvl>
    <w:lvl w:ilvl="8" w:tentative="0">
      <w:start w:val="1"/>
      <w:numFmt w:val="decimal"/>
      <w:lvlText w:val="%1.%2.%3.%4.%5.%6.%7.%8.%9."/>
      <w:lvlJc w:val="left"/>
      <w:pPr>
        <w:ind w:left="1800" w:hanging="1800"/>
      </w:pPr>
      <w:rPr>
        <w:rFonts w:hint="default"/>
        <w:i w:val="off"/>
      </w:rPr>
    </w:lvl>
  </w:abstractNum>
  <w:abstractNum w:abstractNumId="8">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Arial" w:cs="Arial" w:eastAsia="Arial" w:hAnsi="Arial"/>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2.%2.%3."/>
      <w:lvlJc w:val="left"/>
      <w:pPr>
        <w:ind w:left="1224" w:hanging="504"/>
      </w:pPr>
      <w:rPr>
        <w:b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8"/>
  </w:num>
  <w:num w:numId="2">
    <w:abstractNumId w:val="11"/>
  </w:num>
  <w:num w:numId="3">
    <w:abstractNumId w:val="10"/>
  </w:num>
  <w:num w:numId="4">
    <w:abstractNumId w:val="4"/>
  </w:num>
  <w:num w:numId="5">
    <w:abstractNumId w:val="5"/>
  </w:num>
  <w:num w:numId="6">
    <w:abstractNumId w:val="9"/>
  </w:num>
  <w:num w:numId="7">
    <w:abstractNumId w:val="2"/>
  </w:num>
  <w:num w:numId="8">
    <w:abstractNumId w:val="12"/>
  </w:num>
  <w:num w:numId="9">
    <w:abstractNumId w:val="3"/>
  </w:num>
  <w:num w:numId="10">
    <w:abstractNumId w:val="6"/>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8D"/>
    <w:rsid w:val="00050B45"/>
    <w:rsid w:val="00061135"/>
    <w:rsid w:val="00081651"/>
    <w:rsid w:val="00087FE7"/>
    <w:rsid w:val="000C41B5"/>
    <w:rsid w:val="00137539"/>
    <w:rsid w:val="00155E25"/>
    <w:rsid w:val="001844CC"/>
    <w:rsid w:val="001A3ECC"/>
    <w:rsid w:val="001B123D"/>
    <w:rsid w:val="001B7514"/>
    <w:rsid w:val="001D7D65"/>
    <w:rsid w:val="00253674"/>
    <w:rsid w:val="00255D3E"/>
    <w:rsid w:val="00255DDB"/>
    <w:rsid w:val="002A718D"/>
    <w:rsid w:val="002B5D94"/>
    <w:rsid w:val="002E7C28"/>
    <w:rsid w:val="00317604"/>
    <w:rsid w:val="0039131C"/>
    <w:rsid w:val="003D1535"/>
    <w:rsid w:val="00406EBE"/>
    <w:rsid w:val="0043603C"/>
    <w:rsid w:val="00451DA2"/>
    <w:rsid w:val="00493040"/>
    <w:rsid w:val="00496E70"/>
    <w:rsid w:val="004C12E8"/>
    <w:rsid w:val="00502E25"/>
    <w:rsid w:val="005334BC"/>
    <w:rsid w:val="005551ED"/>
    <w:rsid w:val="00564B54"/>
    <w:rsid w:val="005E0759"/>
    <w:rsid w:val="00601A2C"/>
    <w:rsid w:val="00614B98"/>
    <w:rsid w:val="00625847"/>
    <w:rsid w:val="00643C1C"/>
    <w:rsid w:val="006547C5"/>
    <w:rsid w:val="006C743B"/>
    <w:rsid w:val="006E2468"/>
    <w:rsid w:val="007120DF"/>
    <w:rsid w:val="007627FD"/>
    <w:rsid w:val="007B7B21"/>
    <w:rsid w:val="00820448"/>
    <w:rsid w:val="00820C69"/>
    <w:rsid w:val="00822F24"/>
    <w:rsid w:val="0086104C"/>
    <w:rsid w:val="0089121C"/>
    <w:rsid w:val="00895B7E"/>
    <w:rsid w:val="008B18B0"/>
    <w:rsid w:val="009554A9"/>
    <w:rsid w:val="00972E94"/>
    <w:rsid w:val="0099455D"/>
    <w:rsid w:val="009A1FAB"/>
    <w:rsid w:val="009F228B"/>
    <w:rsid w:val="00A33397"/>
    <w:rsid w:val="00A76961"/>
    <w:rsid w:val="00A81169"/>
    <w:rsid w:val="00A848F8"/>
    <w:rsid w:val="00B22547"/>
    <w:rsid w:val="00B35A02"/>
    <w:rsid w:val="00B534D8"/>
    <w:rsid w:val="00BA2E6D"/>
    <w:rsid w:val="00BB0B6C"/>
    <w:rsid w:val="00BC2228"/>
    <w:rsid w:val="00C057EA"/>
    <w:rsid w:val="00C25DFF"/>
    <w:rsid w:val="00C328AB"/>
    <w:rsid w:val="00CA3A10"/>
    <w:rsid w:val="00CB34B1"/>
    <w:rsid w:val="00D14536"/>
    <w:rsid w:val="00D45557"/>
    <w:rsid w:val="00D62AD8"/>
    <w:rsid w:val="00D80E2F"/>
    <w:rsid w:val="00DD694E"/>
    <w:rsid w:val="00E162F6"/>
    <w:rsid w:val="00E17435"/>
    <w:rsid w:val="00E846E7"/>
    <w:rsid w:val="00E9494A"/>
    <w:rsid w:val="00EC7947"/>
    <w:rsid w:val="00ED3240"/>
    <w:rsid w:val="00EF55B5"/>
    <w:rsid w:val="00F6417F"/>
    <w:rsid w:val="00F8732D"/>
    <w:rsid w:val="00FA6AE7"/>
    <w:rsid w:val="00FF40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805A"/>
  <w15:chartTrackingRefBased/>
  <w15:docId w15:val="{1550C200-0AA4-4512-AB8C-F57748E2D603}"/>
  <w:footnotePr>
    <w:footnote w:id="0"/>
    <w:footnote w:id="1"/>
    <w:footnote w:id="2"/>
  </w:footnotePr>
  <w:endnotePr>
    <w:endnote w:id="0"/>
    <w:endnote w:id="1"/>
    <w:endnote w:id="2"/>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120"/>
    </w:pPr>
    <w:rPr>
      <w:b/>
      <w:sz w:val="48"/>
      <w:szCs w:val="48"/>
    </w:rPr>
  </w:style>
  <w:style w:type="paragraph" w:styleId="Heading2">
    <w:name w:val="Heading 2"/>
    <w:basedOn w:val="Normal"/>
    <w:next w:val="Normal"/>
    <w:link w:val="Heading2Char"/>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link w:val="Heading3Char"/>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link w:val="Heading4Char"/>
    <w:uiPriority w:val="9"/>
    <w:semiHidden w:val="on"/>
    <w:unhideWhenUsed w:val="on"/>
    <w:qFormat w:val="on"/>
    <w:pPr>
      <w:keepNext w:val="on"/>
      <w:keepLines w:val="on"/>
      <w:spacing w:before="240" w:after="40"/>
    </w:pPr>
    <w:rPr>
      <w:b/>
      <w:sz w:val="24"/>
      <w:szCs w:val="24"/>
    </w:rPr>
  </w:style>
  <w:style w:type="paragraph" w:styleId="Heading5">
    <w:name w:val="Heading 5"/>
    <w:basedOn w:val="Normal"/>
    <w:next w:val="Normal"/>
    <w:link w:val="Heading5Char"/>
    <w:uiPriority w:val="9"/>
    <w:semiHidden w:val="on"/>
    <w:unhideWhenUsed w:val="on"/>
    <w:qFormat w:val="on"/>
    <w:pPr>
      <w:keepNext w:val="on"/>
      <w:keepLines w:val="on"/>
      <w:spacing w:before="220" w:after="40"/>
    </w:pPr>
    <w:rPr>
      <w:b/>
    </w:rPr>
  </w:style>
  <w:style w:type="paragraph" w:styleId="Heading6">
    <w:name w:val="Heading 6"/>
    <w:basedOn w:val="Normal"/>
    <w:next w:val="Normal"/>
    <w:link w:val="Heading6Char"/>
    <w:uiPriority w:val="9"/>
    <w:semiHidden w:val="on"/>
    <w:unhideWhenUsed w:val="on"/>
    <w:qFormat w:val="on"/>
    <w:pPr>
      <w:keepNext w:val="on"/>
      <w:keepLines w:val="on"/>
      <w:spacing w:before="200" w:after="40"/>
    </w:pPr>
    <w:rPr>
      <w:b/>
      <w:sz w:val="20"/>
      <w:szCs w:val="20"/>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 w:type="character" w:styleId="UnresolvedMention">
    <w:name w:val="Unresolved Mention"/>
    <w:basedOn w:val="DefaultParagraphFont"/>
    <w:uiPriority w:val="99"/>
    <w:semiHidden w:val="on"/>
    <w:unhideWhenUsed w:val="on"/>
    <w:rPr>
      <w:color w:val="605e5c"/>
      <w:shd w:val="clear" w:color="auto" w:fill="e1dfdd"/>
    </w:rPr>
  </w:style>
  <w:style w:type="character" w:customStyle="1" w:styleId="Heading1Char">
    <w:name w:val="Heading 1 Char"/>
    <w:basedOn w:val="DefaultParagraphFont"/>
    <w:link w:val="Heading1"/>
    <w:uiPriority w:val="9"/>
    <w:rPr>
      <w:rFonts w:ascii="Calibri" w:cs="Calibri" w:eastAsia="Calibri" w:hAnsi="Calibri"/>
      <w:b/>
      <w:sz w:val="48"/>
      <w:szCs w:val="48"/>
      <w:lang w:eastAsia="lv-LV"/>
    </w:rPr>
  </w:style>
  <w:style w:type="character" w:customStyle="1" w:styleId="Heading2Char">
    <w:name w:val="Heading 2 Char"/>
    <w:basedOn w:val="DefaultParagraphFont"/>
    <w:link w:val="Heading2"/>
    <w:uiPriority w:val="9"/>
    <w:semiHidden w:val="on"/>
    <w:rPr>
      <w:rFonts w:ascii="Calibri" w:cs="Calibri" w:eastAsia="Calibri" w:hAnsi="Calibri"/>
      <w:b/>
      <w:sz w:val="36"/>
      <w:szCs w:val="36"/>
      <w:lang w:eastAsia="lv-LV"/>
    </w:rPr>
  </w:style>
  <w:style w:type="character" w:customStyle="1" w:styleId="Heading3Char">
    <w:name w:val="Heading 3 Char"/>
    <w:basedOn w:val="DefaultParagraphFont"/>
    <w:link w:val="Heading3"/>
    <w:uiPriority w:val="9"/>
    <w:semiHidden w:val="on"/>
    <w:rPr>
      <w:rFonts w:ascii="Calibri" w:cs="Calibri" w:eastAsia="Calibri" w:hAnsi="Calibri"/>
      <w:b/>
      <w:sz w:val="28"/>
      <w:szCs w:val="28"/>
      <w:lang w:eastAsia="lv-LV"/>
    </w:rPr>
  </w:style>
  <w:style w:type="character" w:customStyle="1" w:styleId="Heading4Char">
    <w:name w:val="Heading 4 Char"/>
    <w:basedOn w:val="DefaultParagraphFont"/>
    <w:link w:val="Heading4"/>
    <w:uiPriority w:val="9"/>
    <w:semiHidden w:val="on"/>
    <w:rPr>
      <w:rFonts w:ascii="Calibri" w:cs="Calibri" w:eastAsia="Calibri" w:hAnsi="Calibri"/>
      <w:b/>
      <w:sz w:val="24"/>
      <w:szCs w:val="24"/>
      <w:lang w:eastAsia="lv-LV"/>
    </w:rPr>
  </w:style>
  <w:style w:type="character" w:customStyle="1" w:styleId="Heading5Char">
    <w:name w:val="Heading 5 Char"/>
    <w:basedOn w:val="DefaultParagraphFont"/>
    <w:link w:val="Heading5"/>
    <w:uiPriority w:val="9"/>
    <w:semiHidden w:val="on"/>
    <w:rPr>
      <w:rFonts w:ascii="Calibri" w:cs="Calibri" w:eastAsia="Calibri" w:hAnsi="Calibri"/>
      <w:b/>
      <w:lang w:eastAsia="lv-LV"/>
    </w:rPr>
  </w:style>
  <w:style w:type="character" w:customStyle="1" w:styleId="Heading6Char">
    <w:name w:val="Heading 6 Char"/>
    <w:basedOn w:val="DefaultParagraphFont"/>
    <w:link w:val="Heading6"/>
    <w:uiPriority w:val="9"/>
    <w:semiHidden w:val="on"/>
    <w:rPr>
      <w:rFonts w:ascii="Calibri" w:cs="Calibri" w:eastAsia="Calibri" w:hAnsi="Calibri"/>
      <w:b/>
      <w:sz w:val="20"/>
      <w:szCs w:val="20"/>
      <w:lang w:eastAsia="lv-LV"/>
    </w:rPr>
  </w:style>
  <w:style w:type="paragraph" w:styleId="Title">
    <w:name w:val="Title"/>
    <w:basedOn w:val="Normal"/>
    <w:next w:val="Normal"/>
    <w:link w:val="TitleChar"/>
    <w:uiPriority w:val="10"/>
    <w:qFormat w:val="on"/>
    <w:pPr>
      <w:keepNext w:val="on"/>
      <w:keepLines w:val="on"/>
      <w:spacing w:before="480" w:after="120"/>
    </w:pPr>
    <w:rPr>
      <w:b/>
      <w:sz w:val="72"/>
      <w:szCs w:val="72"/>
    </w:rPr>
  </w:style>
  <w:style w:type="character" w:customStyle="1" w:styleId="TitleChar">
    <w:name w:val="Title Char"/>
    <w:basedOn w:val="DefaultParagraphFont"/>
    <w:link w:val="Title"/>
    <w:uiPriority w:val="10"/>
    <w:rPr>
      <w:rFonts w:ascii="Calibri" w:cs="Calibri" w:eastAsia="Calibri" w:hAnsi="Calibri"/>
      <w:b/>
      <w:sz w:val="72"/>
      <w:szCs w:val="72"/>
      <w:lang w:eastAsia="lv-LV"/>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rFonts w:ascii="Calibri" w:cs="Calibri" w:eastAsia="Calibri" w:hAnsi="Calibri"/>
      <w:sz w:val="20"/>
      <w:szCs w:val="20"/>
      <w:lang w:eastAsia="lv-LV"/>
    </w:rPr>
  </w:style>
  <w:style w:type="character" w:styleId="Footnotereference">
    <w:name w:val="Footnote reference"/>
    <w:basedOn w:val="DefaultParagraphFont"/>
    <w:uiPriority w:val="99"/>
    <w:semiHidden w:val="on"/>
    <w:unhideWhenUsed w:val="on"/>
    <w:rPr>
      <w:vertAlign w:val="superscript"/>
    </w:rPr>
  </w:style>
  <w:style w:type="paragraph" w:styleId="Header">
    <w:name w:val="Header"/>
    <w:basedOn w:val="Normal"/>
    <w:link w:val="HeaderChar"/>
    <w:uiPriority w:val="99"/>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Calibri" w:cs="Calibri" w:eastAsia="Calibri" w:hAnsi="Calibri"/>
      <w:lang w:eastAsia="lv-LV"/>
    </w:rPr>
  </w:style>
  <w:style w:type="paragraph" w:styleId="Footer">
    <w:name w:val="Footer"/>
    <w:basedOn w:val="Normal"/>
    <w:link w:val="FooterChar"/>
    <w:uiPriority w:val="99"/>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Calibri" w:cs="Calibri" w:eastAsia="Calibri" w:hAnsi="Calibri"/>
      <w:lang w:eastAsia="lv-LV"/>
    </w:rPr>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eastAsia="Calibri" w:hAnsi="Segoe UI"/>
      <w:sz w:val="18"/>
      <w:szCs w:val="18"/>
      <w:lang w:eastAsia="lv-LV"/>
    </w:rPr>
  </w:style>
  <w:style w:type="character" w:customStyle="1" w:styleId="UnresolvedMention1">
    <w:name w:val="Unresolved Mention1"/>
    <w:basedOn w:val="DefaultParagraphFont"/>
    <w:uiPriority w:val="99"/>
    <w:semiHidden w:val="on"/>
    <w:unhideWhenUsed w:val="on"/>
    <w:rPr>
      <w:color w:val="605e5c"/>
      <w:shd w:val="clear" w:color="auto" w:fill="e1dfdd"/>
    </w:rPr>
  </w:style>
  <w:style w:type="paragraph" w:styleId="Subtitle">
    <w:name w:val="Subtitle"/>
    <w:basedOn w:val="Normal"/>
    <w:next w:val="Normal"/>
    <w:link w:val="SubtitleChar"/>
    <w:uiPriority w:val="11"/>
    <w:qFormat w:val="on"/>
    <w:pPr>
      <w:keepNext w:val="on"/>
      <w:keepLines w:val="on"/>
      <w:spacing w:before="360" w:after="80"/>
    </w:pPr>
    <w:rPr>
      <w:rFonts w:ascii="Georgia" w:cs="Georgia" w:eastAsia="Georgia" w:hAnsi="Georgia"/>
      <w:i/>
      <w:color w:val="666666"/>
      <w:sz w:val="48"/>
      <w:szCs w:val="48"/>
    </w:rPr>
  </w:style>
  <w:style w:type="character" w:customStyle="1" w:styleId="SubtitleChar">
    <w:name w:val="Subtitle Char"/>
    <w:basedOn w:val="DefaultParagraphFont"/>
    <w:link w:val="Subtitle"/>
    <w:uiPriority w:val="11"/>
    <w:rPr>
      <w:rFonts w:ascii="Georgia" w:cs="Georgia" w:eastAsia="Georgia" w:hAnsi="Georgia"/>
      <w:i/>
      <w:color w:val="666666"/>
      <w:sz w:val="48"/>
      <w:szCs w:val="48"/>
      <w:lang w:eastAsia="lv-LV"/>
    </w:rPr>
  </w:style>
  <w:style w:type="paragraph" w:styleId="Revision">
    <w:name w:val="Revision"/>
    <w:hidden w:val="on"/>
    <w:uiPriority w:val="99"/>
    <w:semiHidden w:val="on"/>
    <w:pPr>
      <w:spacing w:after="0" w:line="240" w:lineRule="auto"/>
    </w:pPr>
    <w:rPr>
      <w:rFonts w:ascii="Calibri" w:cs="Calibri" w:eastAsia="Calibri" w:hAnsi="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6" Type="http://schemas.openxmlformats.org/officeDocument/2006/relationships/fontTable" Target="fontTable.xml"/><Relationship Id="rId17" Type="http://schemas.openxmlformats.org/officeDocument/2006/relationships/theme" Target="theme/theme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45" Type="http://schemas.openxmlformats.org/officeDocument/2006/relationships/header" Target="header1.xml"/><Relationship Id="rId46" Type="http://schemas.openxmlformats.org/officeDocument/2006/relationships/footer" Target="footer1.xml"/><Relationship Id="rId47"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hyperlink" Target="mailto:karlis.trankalis@lnsc.lv" TargetMode="External"/><Relationship Id="rId9" Type="http://schemas.openxmlformats.org/officeDocument/2006/relationships/hyperlink" Target="http://www.lnsc.lv" TargetMode="External"/><Relationship Id="rId10" Type="http://schemas.openxmlformats.org/officeDocument/2006/relationships/hyperlink" Target="http://www.vni.lv" TargetMode="External"/><Relationship Id="rId11" Type="http://schemas.openxmlformats.org/officeDocument/2006/relationships/hyperlink" Target="http://www.daugavasstadions.lv" TargetMode="External"/><Relationship Id="rId12"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EschnqfY+QQuNoyFDwvlUEJvQ==">AMUW2mWGJp+XuSlyThJ777588f8VjAP/2SPVNfYFGcoEgE8BnoyG0vOLX5Ni5ww5u7d3QY/MsY+s51W2JmpfhxaabDkNdVxn4JIMADkfhjHHNPXIcOBZZETMjZP7thKHuQS4EwKWXZcN/esfuHCCkC1tDtbwIJOeglOvuvJ7YwfkOtdzXEjFOPf11jM5ehzpVYwfL/3638i58bok27WFqVAYDfBQBa9zXZFeA/eXeq6+Diu5+pWbYW0K/Fa2qMpfShB1ZxN15mfyiLxrWwMBkoMUeUh63/Va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8575</Words>
  <Characters>4888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