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2025.gada 11</w:t>
      </w:r>
      <w:r>
        <w:rPr>
          <w:rFonts w:ascii="Times New Roman" w:cs="Times New Roman" w:eastAsia="Times New Roman" w:hAnsi="Times New Roman"/>
          <w:sz w:val="20"/>
          <w:szCs w:val="20"/>
        </w:rPr>
        <w:t>. jūnija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Nr.1-17.1/34</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Nedzīvojamās telpas Nr. 001-29</w:t>
      </w:r>
      <w:r>
        <w:rPr>
          <w:rFonts w:ascii="Times New Roman" w:cs="Times New Roman" w:eastAsia="Times New Roman" w:hAnsi="Times New Roman"/>
        </w:rPr>
        <w:t xml:space="preserve"> noma,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xml:space="preserve"> (Daugavas stadiona B tribīnē)</w:t>
      </w:r>
      <w:r>
        <w:rPr>
          <w:rFonts w:ascii="Times New Roman" w:cs="Times New Roman" w:eastAsia="Times New Roman" w:hAnsi="Times New Roman"/>
        </w:rPr>
        <w:t>, Rīgā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56,6</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1-17.2/50</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veids:</w:t>
      </w:r>
      <w:r>
        <w:rPr>
          <w:rFonts w:ascii="Times New Roman" w:cs="Times New Roman" w:eastAsia="Times New Roman" w:hAnsi="Times New Roman"/>
          <w:color w:val="000000"/>
        </w:rPr>
        <w:t xml:space="preserve"> atkārtota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1-17.2/50</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rPr>
        <w:t>Kārlis Trankalis</w:t>
      </w:r>
      <w:r>
        <w:rPr>
          <w:rFonts w:ascii="Times New Roman" w:cs="Times New Roman" w:eastAsia="Times New Roman" w:hAnsi="Times New Roman"/>
          <w:color w:val="000000"/>
        </w:rPr>
        <w:t>, tel.nr. 20084087, e-pasts: karlis.trankalis@lnsc.l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nedzīvojamo telpu Nr. 001-29</w:t>
      </w:r>
      <w:r>
        <w:rPr>
          <w:rFonts w:ascii="Times New Roman" w:cs="Times New Roman" w:eastAsia="Times New Roman" w:hAnsi="Times New Roman"/>
          <w:color w:val="000000"/>
        </w:rPr>
        <w:t xml:space="preserve"> ar kopējo platību 56,6</w:t>
      </w:r>
      <w:r>
        <w:rPr>
          <w:rFonts w:ascii="Times New Roman" w:cs="Times New Roman" w:eastAsia="Times New Roman" w:hAnsi="Times New Roman"/>
          <w:b/>
        </w:rPr>
        <w:t xml:space="preserve"> </w:t>
      </w:r>
      <w:r>
        <w:rPr>
          <w:rFonts w:ascii="Times New Roman" w:cs="Times New Roman" w:eastAsia="Times New Roman" w:hAnsi="Times New Roman"/>
          <w:color w:val="000000"/>
        </w:rPr>
        <w:t>m</w:t>
      </w:r>
      <w:r>
        <w:rPr>
          <w:rFonts w:ascii="Times New Roman" w:cs="Times New Roman" w:eastAsia="Times New Roman" w:hAnsi="Times New Roman"/>
          <w:color w:val="000000"/>
          <w:vertAlign w:val="superscript"/>
        </w:rPr>
        <w:t>2</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w:t>
      </w:r>
      <w:r>
        <w:rPr>
          <w:rFonts w:ascii="Times New Roman" w:cs="Times New Roman" w:eastAsia="Times New Roman" w:hAnsi="Times New Roman"/>
        </w:rPr>
        <w:t>(turpmāk – Nomas objekts)(</w:t>
      </w:r>
      <w:r>
        <w:rPr>
          <w:rFonts w:ascii="Times New Roman" w:cs="Times New Roman" w:eastAsia="Times New Roman" w:hAnsi="Times New Roman"/>
        </w:rPr>
        <w:t>Daugavas stadiona B t</w:t>
      </w:r>
      <w:r>
        <w:rPr>
          <w:rFonts w:ascii="Times New Roman" w:cs="Times New Roman" w:eastAsia="Times New Roman" w:hAnsi="Times New Roman"/>
        </w:rPr>
        <w:t>ribīne)</w:t>
      </w:r>
      <w:r>
        <w:rPr>
          <w:rFonts w:ascii="Times New Roman" w:cs="Times New Roman" w:eastAsia="Times New Roman" w:hAnsi="Times New Roman"/>
        </w:rPr>
        <w:t>.</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w:t>
      </w:r>
      <w:r>
        <w:rPr>
          <w:rFonts w:ascii="Times New Roman" w:cs="Times New Roman" w:eastAsia="Times New Roman" w:hAnsi="Times New Roman"/>
        </w:rPr>
        <w:t xml:space="preserve">Biroja telpas, sporta nodarbību telpas. </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367,90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(trīssimt</w:t>
      </w:r>
      <w:r>
        <w:rPr>
          <w:rFonts w:ascii="Times New Roman" w:cs="Times New Roman" w:eastAsia="Times New Roman" w:hAnsi="Times New Roman"/>
        </w:rPr>
        <w:t xml:space="preserve"> sešdesmit septiņi eiro</w:t>
      </w:r>
      <w:r>
        <w:rPr>
          <w:rFonts w:ascii="Times New Roman" w:cs="Times New Roman" w:eastAsia="Times New Roman" w:hAnsi="Times New Roman"/>
          <w:color w:val="000000"/>
        </w:rPr>
        <w:t xml:space="preserve"> un 90</w:t>
      </w:r>
      <w:r>
        <w:rPr>
          <w:rFonts w:ascii="Times New Roman" w:cs="Times New Roman" w:eastAsia="Times New Roman" w:hAnsi="Times New Roman"/>
          <w:color w:val="000000"/>
        </w:rPr>
        <w:t xml:space="preserve"> centi)</w:t>
      </w:r>
      <w:r>
        <w:rPr>
          <w:rFonts w:ascii="Times New Roman" w:cs="Times New Roman" w:eastAsia="Times New Roman" w:hAnsi="Times New Roman"/>
          <w:color w:val="000000"/>
        </w:rPr>
        <w:t xml:space="preserve">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36</w:t>
      </w:r>
      <w:r>
        <w:rPr>
          <w:rFonts w:ascii="Times New Roman" w:cs="Times New Roman" w:eastAsia="Times New Roman" w:hAnsi="Times New Roman"/>
          <w:color w:val="000000"/>
        </w:rPr>
        <w:t>,00  (trīsdesmit seši</w:t>
      </w:r>
      <w:r>
        <w:rPr>
          <w:rFonts w:ascii="Times New Roman" w:cs="Times New Roman" w:eastAsia="Times New Roman" w:hAnsi="Times New Roman"/>
          <w:color w:val="000000"/>
        </w:rPr>
        <w:t xml:space="preserve"> eiro un </w:t>
      </w:r>
      <w:r>
        <w:rPr>
          <w:rFonts w:ascii="Times New Roman" w:cs="Times New Roman" w:eastAsia="Times New Roman" w:hAnsi="Times New Roman"/>
        </w:rPr>
        <w:t>0</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rPr>
        <w:t>3</w:t>
      </w:r>
      <w:r>
        <w:rPr>
          <w:rFonts w:ascii="Times New Roman" w:cs="Times New Roman" w:eastAsia="Times New Roman" w:hAnsi="Times New Roman"/>
        </w:rPr>
        <w:t xml:space="preserve"> </w:t>
      </w:r>
      <w:r>
        <w:rPr>
          <w:rFonts w:ascii="Times New Roman" w:cs="Times New Roman" w:eastAsia="Times New Roman" w:hAnsi="Times New Roman"/>
          <w:color w:val="000000"/>
        </w:rPr>
        <w:t>(</w:t>
      </w:r>
      <w:r>
        <w:rPr>
          <w:rFonts w:ascii="Times New Roman" w:cs="Times New Roman" w:eastAsia="Times New Roman" w:hAnsi="Times New Roman"/>
        </w:rPr>
        <w:t>trīs</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gadi.</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 xml:space="preserve">Izsoles Telpu pretendents var apskatīt tā atrašanās vietā, apskates laiku (darba dienās) iepriekš saskaņojot ar </w:t>
      </w:r>
      <w:r>
        <w:rPr>
          <w:rFonts w:ascii="Times New Roman" w:cs="Times New Roman" w:eastAsia="Times New Roman" w:hAnsi="Times New Roman"/>
        </w:rPr>
        <w:t xml:space="preserve">Kārli </w:t>
      </w:r>
      <w:r>
        <w:rPr>
          <w:rFonts w:ascii="Times New Roman" w:cs="Times New Roman" w:eastAsia="Times New Roman" w:hAnsi="Times New Roman"/>
        </w:rPr>
        <w:t>Trankali</w:t>
      </w:r>
      <w:r>
        <w:rPr>
          <w:rFonts w:ascii="Times New Roman" w:cs="Times New Roman" w:eastAsia="Times New Roman" w:hAnsi="Times New Roman"/>
          <w:color w:val="000000"/>
        </w:rPr>
        <w:t>, tel.nr. 2</w:t>
      </w:r>
      <w:r>
        <w:rPr>
          <w:rFonts w:ascii="Times New Roman" w:cs="Times New Roman" w:eastAsia="Times New Roman" w:hAnsi="Times New Roman"/>
        </w:rPr>
        <w:t>0084087</w:t>
      </w:r>
      <w:r>
        <w:rPr>
          <w:rFonts w:ascii="Times New Roman" w:cs="Times New Roman" w:eastAsia="Times New Roman" w:hAnsi="Times New Roman"/>
          <w:color w:val="000000"/>
        </w:rPr>
        <w:t>, e-pasts:</w:t>
      </w:r>
      <w:r>
        <w:rPr>
          <w:rFonts w:ascii="Times New Roman" w:cs="Times New Roman" w:eastAsia="Times New Roman" w:hAnsi="Times New Roman"/>
        </w:rPr>
        <w:t xml:space="preserve"> karlis.trankalis@lnsc.lv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w:t>
      </w:r>
      <w:r>
        <w:rPr>
          <w:rFonts w:ascii="Times New Roman" w:cs="Times New Roman" w:eastAsia="Times New Roman" w:hAnsi="Times New Roman"/>
          <w:b/>
          <w:bCs/>
        </w:rPr>
        <w:t>01</w:t>
      </w:r>
      <w:r>
        <w:rPr>
          <w:rFonts w:ascii="Times New Roman" w:cs="Times New Roman" w:eastAsia="Times New Roman" w:hAnsi="Times New Roman"/>
          <w:b/>
          <w:bCs/>
        </w:rPr>
        <w:t>.</w:t>
      </w:r>
      <w:r>
        <w:rPr>
          <w:rFonts w:ascii="Times New Roman" w:cs="Times New Roman" w:eastAsia="Times New Roman" w:hAnsi="Times New Roman"/>
          <w:b/>
          <w:bCs/>
        </w:rPr>
        <w:t>07</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w:t>
      </w:r>
      <w:r>
        <w:rPr>
          <w:rFonts w:ascii="Times New Roman" w:cs="Times New Roman" w:eastAsia="Times New Roman" w:hAnsi="Times New Roman"/>
          <w:b/>
          <w:bCs/>
        </w:rPr>
        <w:t>01</w:t>
      </w:r>
      <w:r>
        <w:rPr>
          <w:rFonts w:ascii="Times New Roman" w:cs="Times New Roman" w:eastAsia="Times New Roman" w:hAnsi="Times New Roman"/>
          <w:b/>
          <w:bCs/>
        </w:rPr>
        <w:t>.</w:t>
      </w:r>
      <w:r>
        <w:rPr>
          <w:rFonts w:ascii="Times New Roman" w:cs="Times New Roman" w:eastAsia="Times New Roman" w:hAnsi="Times New Roman"/>
          <w:b/>
          <w:bCs/>
        </w:rPr>
        <w:t>07</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pBdr>
          <w:top w:val="nil" w:sz="4" w:space="0"/>
          <w:left w:val="nil" w:sz="4" w:space="0"/>
          <w:bottom w:val="nil" w:sz="4" w:space="0"/>
          <w:right w:val="nil" w:sz="4" w:space="0"/>
          <w:between w:val="nil" w:sz="4" w:space="0"/>
        </w:pBdr>
        <w:spacing w:after="0"/>
        <w:ind w:left="1224" w:right="0" w:firstLine="0"/>
        <w:jc w:val="both"/>
        <w:rPr>
          <w:rFonts w:ascii="Times New Roman" w:cs="Times New Roman" w:eastAsia="Times New Roman" w:hAnsi="Times New Roman"/>
          <w:b/>
          <w:color w:val="000000"/>
        </w:rPr>
      </w:pPr>
      <w:r>
        <w:rPr>
          <w:rFonts w:ascii="Times New Roman" w:cs="Times New Roman" w:eastAsia="Times New Roman" w:hAnsi="Times New Roman"/>
          <w:color w:val="000000"/>
        </w:rPr>
        <w:t>4.7.1. Adresāts:</w:t>
      </w:r>
      <w:r>
        <w:rPr>
          <w:rFonts w:ascii="Times New Roman" w:cs="Times New Roman" w:eastAsia="Times New Roman" w:hAnsi="Times New Roman"/>
          <w:b/>
          <w:color w:val="000000"/>
        </w:rPr>
        <w:t xml:space="preserve"> SIA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7">
      <w:pPr>
        <w:pBdr>
          <w:top w:val="nil" w:sz="4" w:space="0"/>
          <w:left w:val="nil" w:sz="4" w:space="0"/>
          <w:bottom w:val="nil" w:sz="4" w:space="0"/>
          <w:right w:val="nil" w:sz="4" w:space="0"/>
          <w:between w:val="nil" w:sz="4" w:space="0"/>
        </w:pBdr>
        <w:spacing w:after="0"/>
        <w:ind w:left="1764" w:right="0" w:hanging="540"/>
        <w:jc w:val="both"/>
        <w:rPr>
          <w:rFonts w:ascii="Times New Roman" w:cs="Times New Roman" w:eastAsia="Times New Roman" w:hAnsi="Times New Roman"/>
          <w:b/>
          <w:color w:val="000000"/>
        </w:rPr>
      </w:pPr>
      <w:r>
        <w:rPr>
          <w:rFonts w:ascii="Times New Roman" w:cs="Times New Roman" w:eastAsia="Times New Roman" w:hAnsi="Times New Roman"/>
          <w:b w:val="off"/>
          <w:bCs w:val="off"/>
          <w:color w:val="000000"/>
        </w:rPr>
        <w:t>4.7.2.</w:t>
      </w:r>
      <w:r>
        <w:rPr>
          <w:rFonts w:ascii="Times New Roman" w:cs="Times New Roman" w:eastAsia="Times New Roman" w:hAnsi="Times New Roman"/>
          <w:b/>
          <w:color w:val="000000"/>
        </w:rPr>
        <w:t xml:space="preserve"> „Nedzīvojamās telpas Nr. 001-29</w:t>
      </w:r>
      <w:r>
        <w:rPr>
          <w:rFonts w:ascii="Times New Roman" w:cs="Times New Roman" w:eastAsia="Times New Roman" w:hAnsi="Times New Roman"/>
          <w:b/>
          <w:color w:val="000000"/>
        </w:rPr>
        <w:t xml:space="preserve"> noma, kas atrodas </w:t>
      </w:r>
      <w:r>
        <w:rPr>
          <w:rFonts w:ascii="Times New Roman" w:cs="Times New Roman" w:eastAsia="Times New Roman" w:hAnsi="Times New Roman"/>
          <w:b/>
          <w:color w:val="000000"/>
        </w:rPr>
        <w:t>Augšielā</w:t>
      </w:r>
      <w:r>
        <w:rPr>
          <w:rFonts w:ascii="Times New Roman" w:cs="Times New Roman" w:eastAsia="Times New Roman" w:hAnsi="Times New Roman"/>
          <w:b/>
          <w:color w:val="000000"/>
        </w:rPr>
        <w:t xml:space="preserve"> 1, Rīgā ar kopējo platību 56,6</w:t>
      </w:r>
      <w:r>
        <w:rPr>
          <w:rFonts w:ascii="Times New Roman" w:cs="Times New Roman" w:eastAsia="Times New Roman" w:hAnsi="Times New Roman"/>
          <w:b/>
          <w:color w:val="000000"/>
        </w:rPr>
        <w:t xml:space="preserve"> m</w:t>
      </w:r>
      <w:r>
        <w:rPr>
          <w:rFonts w:ascii="Times New Roman" w:cs="Times New Roman" w:eastAsia="Times New Roman" w:hAnsi="Times New Roman"/>
          <w:b/>
          <w:color w:val="000000"/>
          <w:vertAlign w:val="superscript"/>
        </w:rPr>
        <w:t>2</w:t>
      </w:r>
      <w:r>
        <w:rPr>
          <w:rFonts w:ascii="Times New Roman" w:cs="Times New Roman" w:eastAsia="Times New Roman" w:hAnsi="Times New Roman"/>
          <w:b/>
          <w:color w:val="000000"/>
        </w:rPr>
        <w:t>, izsoles identifikācijas Nr. 1-17.2/50”</w:t>
      </w:r>
    </w:p>
    <w:p w14:paraId="00000038">
      <w:pPr>
        <w:pBdr>
          <w:top w:val="nil" w:sz="4" w:space="0"/>
          <w:left w:val="nil" w:sz="4" w:space="0"/>
          <w:bottom w:val="nil" w:sz="4" w:space="0"/>
          <w:right w:val="nil" w:sz="4" w:space="0"/>
          <w:between w:val="nil" w:sz="4" w:space="0"/>
        </w:pBdr>
        <w:spacing w:after="0"/>
        <w:ind w:left="1224" w:right="0" w:firstLine="0"/>
        <w:jc w:val="both"/>
        <w:rPr>
          <w:rFonts w:ascii="Times New Roman" w:cs="Times New Roman" w:eastAsia="Times New Roman" w:hAnsi="Times New Roman"/>
          <w:b/>
          <w:bCs/>
          <w:color w:val="000000"/>
        </w:rPr>
      </w:pPr>
      <w:r>
        <w:rPr>
          <w:rFonts w:ascii="Times New Roman" w:cs="Times New Roman" w:eastAsia="Times New Roman" w:hAnsi="Times New Roman"/>
          <w:b w:val="off"/>
          <w:bCs w:val="off"/>
          <w:color w:val="000000"/>
        </w:rPr>
        <w:t>4.7.3.</w:t>
      </w:r>
      <w:r>
        <w:rPr>
          <w:rFonts w:ascii="Times New Roman" w:cs="Times New Roman" w:eastAsia="Times New Roman" w:hAnsi="Times New Roman"/>
          <w:b/>
          <w:bCs/>
          <w:color w:val="000000"/>
        </w:rPr>
        <w:t xml:space="preserve"> „Neatvērt pirms piedāvājumu atvēršanas sanāksmes”;</w:t>
      </w:r>
    </w:p>
    <w:p w14:paraId="00000039">
      <w:pPr>
        <w:pBdr>
          <w:top w:val="nil" w:sz="4" w:space="0"/>
          <w:left w:val="nil" w:sz="4" w:space="0"/>
          <w:bottom w:val="nil" w:sz="4" w:space="0"/>
          <w:right w:val="nil" w:sz="4" w:space="0"/>
          <w:between w:val="nil" w:sz="4" w:space="0"/>
        </w:pBdr>
        <w:spacing w:after="0"/>
        <w:ind w:left="1224" w:right="0" w:firstLine="0"/>
        <w:jc w:val="both"/>
        <w:rPr>
          <w:rFonts w:ascii="Times New Roman" w:cs="Times New Roman" w:eastAsia="Times New Roman" w:hAnsi="Times New Roman"/>
          <w:b/>
          <w:bCs/>
          <w:color w:val="000000"/>
        </w:rPr>
      </w:pPr>
      <w:r>
        <w:rPr>
          <w:rFonts w:ascii="Times New Roman" w:cs="Times New Roman" w:eastAsia="Times New Roman" w:hAnsi="Times New Roman"/>
          <w:b w:val="off"/>
          <w:bCs w:val="off"/>
          <w:color w:val="000000"/>
        </w:rPr>
        <w:t>4.7.4.</w:t>
      </w:r>
      <w:r>
        <w:rPr>
          <w:rFonts w:ascii="Times New Roman" w:cs="Times New Roman" w:eastAsia="Times New Roman" w:hAnsi="Times New Roman"/>
          <w:b/>
          <w:bCs/>
          <w:color w:val="000000"/>
        </w:rPr>
        <w:t xml:space="preserve"> 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41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w:t>
      </w:r>
      <w:r>
        <w:rPr>
          <w:rFonts w:ascii="Times New Roman" w:cs="Times New Roman" w:eastAsia="Times New Roman" w:hAnsi="Times New Roman"/>
          <w:b/>
          <w:bCs/>
        </w:rPr>
        <w:t>01</w:t>
      </w:r>
      <w:r>
        <w:rPr>
          <w:rFonts w:ascii="Times New Roman" w:cs="Times New Roman" w:eastAsia="Times New Roman" w:hAnsi="Times New Roman"/>
          <w:b/>
          <w:bCs/>
        </w:rPr>
        <w:t>.</w:t>
      </w:r>
      <w:r>
        <w:rPr>
          <w:rFonts w:ascii="Times New Roman" w:cs="Times New Roman" w:eastAsia="Times New Roman" w:hAnsi="Times New Roman"/>
          <w:b/>
          <w:bCs/>
        </w:rPr>
        <w:t>07</w:t>
      </w:r>
      <w:r>
        <w:rPr>
          <w:rFonts w:ascii="Times New Roman" w:cs="Times New Roman" w:eastAsia="Times New Roman" w:hAnsi="Times New Roman"/>
          <w:b/>
          <w:bCs/>
        </w:rPr>
        <w:t>.2025</w:t>
      </w:r>
      <w:r>
        <w:rPr>
          <w:rFonts w:ascii="Times New Roman" w:cs="Times New Roman" w:eastAsia="Times New Roman" w:hAnsi="Times New Roman"/>
          <w:b/>
          <w:bCs/>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cs="Times New Roman" w:eastAsia="Times New Roman" w:hAnsi="Times New Roman"/>
          <w:b/>
        </w:rPr>
        <w:t>:10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r>
        <w:rPr/>
        <w:br w:type="page"/>
      </w: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 xml:space="preserve">2.pielikums -  Nedzīvojamo telpu nomas līguma projekts ar pielikumu uz </w:t>
      </w:r>
      <w:r>
        <w:rPr>
          <w:rFonts w:ascii="Times New Roman" w:cs="Times New Roman" w:eastAsia="Times New Roman" w:hAnsi="Times New Roman"/>
          <w:color w:val="000000"/>
        </w:rPr>
        <w:t>6</w:t>
      </w:r>
      <w:r>
        <w:rPr>
          <w:rFonts w:ascii="Times New Roman" w:cs="Times New Roman" w:eastAsia="Times New Roman" w:hAnsi="Times New Roman"/>
          <w:color w:val="000000"/>
        </w:rPr>
        <w:t xml:space="preserve">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A"/>
    <w:p w14:paraId="0000006B"/>
    <w:sectPr>
      <w:headerReference w:type="default" r:id="rId37"/>
      <w:footerReference w:type="first" r:id="rId38"/>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E4E4C"/>
    <w:rsid w:val="002C5C34"/>
    <w:rsid w:val="003823AF"/>
    <w:rsid w:val="003B0B9E"/>
    <w:rsid w:val="00494E41"/>
    <w:rsid w:val="00643C1C"/>
    <w:rsid w:val="00672B99"/>
    <w:rsid w:val="00686B3E"/>
    <w:rsid w:val="00861D66"/>
    <w:rsid w:val="008C475D"/>
    <w:rsid w:val="00F71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3" Type="http://schemas.openxmlformats.org/officeDocument/2006/relationships/settings" Target="settings.xml"/><Relationship Id="rId37" Type="http://schemas.openxmlformats.org/officeDocument/2006/relationships/header" Target="header1.xml"/><Relationship Id="rId38"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7298</Words>
  <Characters>4160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